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9E0" w:rsidRPr="00927514" w:rsidRDefault="00BB39E0" w:rsidP="0007705C">
      <w:pPr>
        <w:spacing w:before="120" w:after="120" w:line="240" w:lineRule="auto"/>
        <w:jc w:val="both"/>
        <w:rPr>
          <w:rFonts w:cs="Arial"/>
          <w:b/>
        </w:rPr>
      </w:pPr>
    </w:p>
    <w:p w:rsidR="00207AEB" w:rsidRPr="00644473" w:rsidRDefault="00207AEB" w:rsidP="0007705C">
      <w:pPr>
        <w:spacing w:before="120" w:after="120" w:line="240" w:lineRule="auto"/>
        <w:jc w:val="both"/>
        <w:rPr>
          <w:rFonts w:cs="Arial"/>
          <w:b/>
          <w:sz w:val="28"/>
          <w:szCs w:val="28"/>
        </w:rPr>
      </w:pPr>
      <w:r w:rsidRPr="00927514">
        <w:rPr>
          <w:rFonts w:cs="Arial"/>
          <w:b/>
          <w:sz w:val="28"/>
          <w:szCs w:val="28"/>
        </w:rPr>
        <w:t>Udruga Franak reagira na HNB-ovo medijsko priopćenje</w:t>
      </w:r>
      <w:r w:rsidR="00714657">
        <w:rPr>
          <w:rFonts w:cs="Arial"/>
          <w:b/>
          <w:sz w:val="28"/>
          <w:szCs w:val="28"/>
        </w:rPr>
        <w:t xml:space="preserve"> </w:t>
      </w:r>
      <w:r w:rsidRPr="00927514">
        <w:rPr>
          <w:rFonts w:cs="Arial"/>
          <w:b/>
          <w:sz w:val="28"/>
          <w:szCs w:val="28"/>
        </w:rPr>
        <w:t>o učincima konverzije od 20.11.15.</w:t>
      </w:r>
    </w:p>
    <w:p w:rsidR="00927514" w:rsidRPr="00927514" w:rsidRDefault="00927514" w:rsidP="0007705C">
      <w:pPr>
        <w:pStyle w:val="StandardWeb"/>
        <w:spacing w:before="120" w:beforeAutospacing="0" w:after="120" w:afterAutospacing="0"/>
        <w:jc w:val="both"/>
        <w:rPr>
          <w:rFonts w:asciiTheme="minorHAnsi" w:hAnsiTheme="minorHAnsi"/>
        </w:rPr>
      </w:pPr>
      <w:r w:rsidRPr="00927514">
        <w:rPr>
          <w:rFonts w:asciiTheme="minorHAnsi" w:hAnsiTheme="minorHAnsi"/>
        </w:rPr>
        <w:t>Zagreb, 24. studenoga 2015.</w:t>
      </w:r>
      <w:bookmarkStart w:id="0" w:name="_GoBack"/>
      <w:bookmarkEnd w:id="0"/>
    </w:p>
    <w:p w:rsidR="00927514" w:rsidRDefault="00927514" w:rsidP="0007705C">
      <w:pPr>
        <w:pStyle w:val="StandardWeb"/>
        <w:spacing w:before="120" w:beforeAutospacing="0" w:after="120" w:afterAutospacing="0"/>
        <w:jc w:val="both"/>
        <w:rPr>
          <w:rFonts w:asciiTheme="minorHAnsi" w:hAnsiTheme="minorHAnsi"/>
        </w:rPr>
      </w:pPr>
    </w:p>
    <w:p w:rsidR="00927514" w:rsidRPr="00644473" w:rsidRDefault="00927514" w:rsidP="0007705C">
      <w:pPr>
        <w:pStyle w:val="StandardWeb"/>
        <w:spacing w:before="120" w:beforeAutospacing="0" w:after="120" w:afterAutospacing="0"/>
        <w:jc w:val="both"/>
        <w:rPr>
          <w:rFonts w:asciiTheme="minorHAnsi" w:hAnsiTheme="minorHAnsi"/>
          <w:b/>
        </w:rPr>
      </w:pPr>
      <w:r w:rsidRPr="00644473">
        <w:rPr>
          <w:rFonts w:asciiTheme="minorHAnsi" w:hAnsiTheme="minorHAnsi"/>
          <w:b/>
        </w:rPr>
        <w:t>SKRETANJE POZORNOSTI HNB-a OD PRAVIH PROBLEMA I "PRANJE RUKU"</w:t>
      </w:r>
    </w:p>
    <w:p w:rsidR="00DC7AD2" w:rsidRPr="00DC7AD2" w:rsidRDefault="00DC7AD2" w:rsidP="00DC7AD2">
      <w:pPr>
        <w:shd w:val="clear" w:color="auto" w:fill="FFFFFF"/>
        <w:spacing w:before="100" w:beforeAutospacing="1" w:after="100" w:afterAutospacing="1" w:line="240" w:lineRule="auto"/>
        <w:jc w:val="both"/>
        <w:rPr>
          <w:rFonts w:eastAsia="Times New Roman" w:cs="Arial"/>
          <w:color w:val="222222"/>
          <w:szCs w:val="24"/>
        </w:rPr>
      </w:pPr>
      <w:r w:rsidRPr="00DC7AD2">
        <w:rPr>
          <w:rFonts w:eastAsia="Times New Roman" w:cs="Arial"/>
          <w:color w:val="222222"/>
          <w:szCs w:val="24"/>
        </w:rPr>
        <w:t>Način na koji HNB pristupa samom postupku konverzije kredita te način na koji prezentira razlike u izračunima konverzije iznimno je neprofesionalan, površan i istodobno nedovoljno jasan za prosječnog potrošača.</w:t>
      </w:r>
    </w:p>
    <w:p w:rsidR="00DC7AD2" w:rsidRPr="00DC7AD2" w:rsidRDefault="00DC7AD2" w:rsidP="00DC7AD2">
      <w:pPr>
        <w:shd w:val="clear" w:color="auto" w:fill="FFFFFF"/>
        <w:spacing w:before="100" w:beforeAutospacing="1" w:after="100" w:afterAutospacing="1" w:line="240" w:lineRule="auto"/>
        <w:jc w:val="both"/>
        <w:rPr>
          <w:rFonts w:eastAsia="Times New Roman" w:cs="Arial"/>
          <w:color w:val="222222"/>
          <w:szCs w:val="24"/>
        </w:rPr>
      </w:pPr>
      <w:r w:rsidRPr="00DC7AD2">
        <w:rPr>
          <w:rFonts w:eastAsia="Times New Roman" w:cs="Arial"/>
          <w:color w:val="222222"/>
          <w:szCs w:val="24"/>
        </w:rPr>
        <w:t>Argumentacija HNB kreće se na razini neumjesnog i ispraznog dociranja kojim se nažalost samo pokušava prikriti nerad u HNB-u. Postupajući na taj način, HNB se bez imalo obzira nastavlja igrati ljudskim sudbinama, ugrožavajući direktno egzistenciju pojedinaca i čitavih obitelji.</w:t>
      </w:r>
    </w:p>
    <w:p w:rsidR="00927514" w:rsidRPr="00644473" w:rsidRDefault="00927514" w:rsidP="0007705C">
      <w:pPr>
        <w:pStyle w:val="StandardWeb"/>
        <w:spacing w:before="120" w:beforeAutospacing="0" w:after="120" w:afterAutospacing="0"/>
        <w:jc w:val="both"/>
        <w:rPr>
          <w:rFonts w:asciiTheme="minorHAnsi" w:hAnsiTheme="minorHAnsi"/>
          <w:b/>
        </w:rPr>
      </w:pPr>
      <w:r w:rsidRPr="00644473">
        <w:rPr>
          <w:rFonts w:asciiTheme="minorHAnsi" w:hAnsiTheme="minorHAnsi"/>
          <w:b/>
        </w:rPr>
        <w:t>PRAVI PROBLEMI</w:t>
      </w:r>
      <w:r w:rsidR="0007705C" w:rsidRPr="00644473">
        <w:rPr>
          <w:rFonts w:asciiTheme="minorHAnsi" w:hAnsiTheme="minorHAnsi"/>
          <w:b/>
        </w:rPr>
        <w:t xml:space="preserve"> KONVERZIJE</w:t>
      </w:r>
      <w:r w:rsidRPr="00644473">
        <w:rPr>
          <w:rFonts w:asciiTheme="minorHAnsi" w:hAnsiTheme="minorHAnsi"/>
          <w:b/>
        </w:rPr>
        <w:t xml:space="preserve"> - Kršenje zakona od strane banaka i toleriranje kršenja zakona od strane HNB-a </w:t>
      </w:r>
    </w:p>
    <w:p w:rsidR="00DC7AD2" w:rsidRPr="00DC7AD2" w:rsidRDefault="00927514" w:rsidP="0007705C">
      <w:pPr>
        <w:pStyle w:val="StandardWeb"/>
        <w:spacing w:before="120" w:beforeAutospacing="0" w:after="120" w:afterAutospacing="0"/>
        <w:jc w:val="both"/>
        <w:rPr>
          <w:rFonts w:asciiTheme="minorHAnsi" w:hAnsiTheme="minorHAnsi"/>
          <w:sz w:val="22"/>
        </w:rPr>
      </w:pPr>
      <w:r w:rsidRPr="00DC7AD2">
        <w:rPr>
          <w:rFonts w:asciiTheme="minorHAnsi" w:hAnsiTheme="minorHAnsi"/>
          <w:sz w:val="22"/>
        </w:rPr>
        <w:t>Pravi problem</w:t>
      </w:r>
      <w:r w:rsidR="00DC7AD2" w:rsidRPr="00DC7AD2">
        <w:rPr>
          <w:rFonts w:asciiTheme="minorHAnsi" w:hAnsiTheme="minorHAnsi"/>
          <w:sz w:val="22"/>
        </w:rPr>
        <w:t xml:space="preserve">, koji </w:t>
      </w:r>
      <w:r w:rsidR="00714657">
        <w:rPr>
          <w:rFonts w:asciiTheme="minorHAnsi" w:hAnsiTheme="minorHAnsi"/>
          <w:sz w:val="22"/>
        </w:rPr>
        <w:t>HNB već duže vremena</w:t>
      </w:r>
      <w:r w:rsidR="00DC7AD2" w:rsidRPr="00DC7AD2">
        <w:rPr>
          <w:rFonts w:asciiTheme="minorHAnsi" w:hAnsiTheme="minorHAnsi"/>
          <w:sz w:val="22"/>
        </w:rPr>
        <w:t xml:space="preserve"> propušta primijetiti, je </w:t>
      </w:r>
      <w:r w:rsidRPr="00DC7AD2">
        <w:rPr>
          <w:rFonts w:asciiTheme="minorHAnsi" w:hAnsiTheme="minorHAnsi"/>
          <w:sz w:val="22"/>
        </w:rPr>
        <w:t>opetovano KRŠENJE Zakona</w:t>
      </w:r>
      <w:r w:rsidR="0054052E" w:rsidRPr="00DC7AD2">
        <w:rPr>
          <w:rFonts w:asciiTheme="minorHAnsi" w:hAnsiTheme="minorHAnsi"/>
          <w:sz w:val="22"/>
        </w:rPr>
        <w:t xml:space="preserve"> o potrošačkom kreditiranju</w:t>
      </w:r>
      <w:r w:rsidRPr="00DC7AD2">
        <w:rPr>
          <w:rFonts w:asciiTheme="minorHAnsi" w:hAnsiTheme="minorHAnsi"/>
          <w:sz w:val="22"/>
        </w:rPr>
        <w:t xml:space="preserve"> od strane banaka </w:t>
      </w:r>
      <w:r w:rsidR="0054052E" w:rsidRPr="00DC7AD2">
        <w:rPr>
          <w:rFonts w:asciiTheme="minorHAnsi" w:hAnsiTheme="minorHAnsi"/>
          <w:sz w:val="22"/>
        </w:rPr>
        <w:t>koje provode konverziju kredita</w:t>
      </w:r>
      <w:r w:rsidR="0007705C" w:rsidRPr="00DC7AD2">
        <w:rPr>
          <w:rFonts w:asciiTheme="minorHAnsi" w:hAnsiTheme="minorHAnsi"/>
          <w:sz w:val="22"/>
        </w:rPr>
        <w:t xml:space="preserve">. </w:t>
      </w:r>
      <w:r w:rsidR="0054052E" w:rsidRPr="00DC7AD2">
        <w:rPr>
          <w:rFonts w:asciiTheme="minorHAnsi" w:hAnsiTheme="minorHAnsi"/>
          <w:sz w:val="22"/>
        </w:rPr>
        <w:t xml:space="preserve">Udruga Franak </w:t>
      </w:r>
      <w:r w:rsidR="00714657">
        <w:rPr>
          <w:rFonts w:asciiTheme="minorHAnsi" w:hAnsiTheme="minorHAnsi"/>
          <w:sz w:val="22"/>
        </w:rPr>
        <w:t>pritom</w:t>
      </w:r>
      <w:r w:rsidR="0054052E" w:rsidRPr="00DC7AD2">
        <w:rPr>
          <w:rFonts w:asciiTheme="minorHAnsi" w:hAnsiTheme="minorHAnsi"/>
          <w:sz w:val="22"/>
        </w:rPr>
        <w:t xml:space="preserve"> je</w:t>
      </w:r>
      <w:r w:rsidR="00714657">
        <w:rPr>
          <w:rFonts w:asciiTheme="minorHAnsi" w:hAnsiTheme="minorHAnsi"/>
          <w:sz w:val="22"/>
        </w:rPr>
        <w:t xml:space="preserve"> jako</w:t>
      </w:r>
      <w:r w:rsidR="0054052E" w:rsidRPr="00DC7AD2">
        <w:rPr>
          <w:rFonts w:asciiTheme="minorHAnsi" w:hAnsiTheme="minorHAnsi"/>
          <w:sz w:val="22"/>
        </w:rPr>
        <w:t xml:space="preserve"> dobro procijenila učinak konverzije ali </w:t>
      </w:r>
      <w:r w:rsidR="00DC7AD2" w:rsidRPr="00DC7AD2">
        <w:rPr>
          <w:rFonts w:asciiTheme="minorHAnsi" w:hAnsiTheme="minorHAnsi"/>
          <w:sz w:val="22"/>
        </w:rPr>
        <w:t xml:space="preserve">naravno </w:t>
      </w:r>
      <w:r w:rsidR="0054052E" w:rsidRPr="00DC7AD2">
        <w:rPr>
          <w:rFonts w:asciiTheme="minorHAnsi" w:hAnsiTheme="minorHAnsi"/>
          <w:sz w:val="22"/>
        </w:rPr>
        <w:t>pod uvjet</w:t>
      </w:r>
      <w:r w:rsidR="00DC7AD2" w:rsidRPr="00DC7AD2">
        <w:rPr>
          <w:rFonts w:asciiTheme="minorHAnsi" w:hAnsiTheme="minorHAnsi"/>
          <w:sz w:val="22"/>
        </w:rPr>
        <w:t>om</w:t>
      </w:r>
      <w:r w:rsidR="0054052E" w:rsidRPr="00DC7AD2">
        <w:rPr>
          <w:rFonts w:asciiTheme="minorHAnsi" w:hAnsiTheme="minorHAnsi"/>
          <w:sz w:val="22"/>
        </w:rPr>
        <w:t xml:space="preserve"> da banke u potpunosti poštuju Zakon</w:t>
      </w:r>
      <w:r w:rsidR="00DC7AD2" w:rsidRPr="00DC7AD2">
        <w:rPr>
          <w:rFonts w:asciiTheme="minorHAnsi" w:hAnsiTheme="minorHAnsi"/>
          <w:sz w:val="22"/>
        </w:rPr>
        <w:t xml:space="preserve"> te da </w:t>
      </w:r>
      <w:r w:rsidR="0007705C" w:rsidRPr="00DC7AD2">
        <w:rPr>
          <w:rFonts w:asciiTheme="minorHAnsi" w:hAnsiTheme="minorHAnsi"/>
          <w:sz w:val="22"/>
        </w:rPr>
        <w:t>regulator bankarskog tržišta</w:t>
      </w:r>
      <w:r w:rsidR="00DC7AD2" w:rsidRPr="00DC7AD2">
        <w:rPr>
          <w:rFonts w:asciiTheme="minorHAnsi" w:hAnsiTheme="minorHAnsi"/>
          <w:sz w:val="22"/>
        </w:rPr>
        <w:t xml:space="preserve"> (HNB) </w:t>
      </w:r>
      <w:r w:rsidR="0054052E" w:rsidRPr="00DC7AD2">
        <w:rPr>
          <w:rFonts w:asciiTheme="minorHAnsi" w:hAnsiTheme="minorHAnsi"/>
          <w:sz w:val="22"/>
        </w:rPr>
        <w:t xml:space="preserve">nadzire provođenje </w:t>
      </w:r>
      <w:r w:rsidR="00DC7AD2" w:rsidRPr="00DC7AD2">
        <w:rPr>
          <w:rFonts w:asciiTheme="minorHAnsi" w:hAnsiTheme="minorHAnsi"/>
          <w:sz w:val="22"/>
        </w:rPr>
        <w:t>tog zakona</w:t>
      </w:r>
      <w:r w:rsidR="0054052E" w:rsidRPr="00DC7AD2">
        <w:rPr>
          <w:rFonts w:asciiTheme="minorHAnsi" w:hAnsiTheme="minorHAnsi"/>
          <w:sz w:val="22"/>
        </w:rPr>
        <w:t xml:space="preserve">. </w:t>
      </w:r>
    </w:p>
    <w:p w:rsidR="00DC7AD2" w:rsidRPr="00DC7AD2" w:rsidRDefault="00DC7AD2" w:rsidP="0007705C">
      <w:pPr>
        <w:pStyle w:val="StandardWeb"/>
        <w:spacing w:before="120" w:beforeAutospacing="0" w:after="120" w:afterAutospacing="0"/>
        <w:jc w:val="both"/>
        <w:rPr>
          <w:rFonts w:asciiTheme="minorHAnsi" w:hAnsiTheme="minorHAnsi"/>
          <w:sz w:val="22"/>
        </w:rPr>
      </w:pPr>
      <w:r w:rsidRPr="00DC7AD2">
        <w:rPr>
          <w:rFonts w:asciiTheme="minorHAnsi" w:hAnsiTheme="minorHAnsi"/>
          <w:sz w:val="22"/>
        </w:rPr>
        <w:t>HNB, kao i inače zaokupljen više svojim nadmenim stilom negoli svojim zakonskim obavezama kao regulatora tržišta, propušta tako primijetiti kako korisnicima kredita nije problem mala preplata ili manjak kao takav, već je problem direktno kršenje zakona od strane banaka.</w:t>
      </w:r>
    </w:p>
    <w:p w:rsidR="00DC7AD2" w:rsidRPr="00DC7AD2" w:rsidRDefault="00DC7AD2" w:rsidP="0007705C">
      <w:pPr>
        <w:pStyle w:val="StandardWeb"/>
        <w:spacing w:before="120" w:beforeAutospacing="0" w:after="120" w:afterAutospacing="0"/>
        <w:jc w:val="both"/>
        <w:rPr>
          <w:rFonts w:asciiTheme="minorHAnsi" w:hAnsiTheme="minorHAnsi"/>
          <w:sz w:val="22"/>
        </w:rPr>
      </w:pPr>
    </w:p>
    <w:p w:rsidR="0007705C" w:rsidRPr="00DC7AD2" w:rsidRDefault="0054052E" w:rsidP="0007705C">
      <w:pPr>
        <w:pStyle w:val="StandardWeb"/>
        <w:spacing w:before="120" w:beforeAutospacing="0" w:after="120" w:afterAutospacing="0"/>
        <w:jc w:val="both"/>
        <w:rPr>
          <w:rFonts w:asciiTheme="minorHAnsi" w:hAnsiTheme="minorHAnsi"/>
          <w:sz w:val="22"/>
        </w:rPr>
      </w:pPr>
      <w:r w:rsidRPr="00DC7AD2">
        <w:rPr>
          <w:rFonts w:asciiTheme="minorHAnsi" w:hAnsiTheme="minorHAnsi"/>
          <w:sz w:val="22"/>
        </w:rPr>
        <w:t xml:space="preserve">Udruga Franak ističe neke od najčešćih </w:t>
      </w:r>
      <w:r w:rsidR="00DC7AD2" w:rsidRPr="00DC7AD2">
        <w:rPr>
          <w:rFonts w:asciiTheme="minorHAnsi" w:hAnsiTheme="minorHAnsi"/>
          <w:sz w:val="22"/>
        </w:rPr>
        <w:t xml:space="preserve">načina </w:t>
      </w:r>
      <w:r w:rsidRPr="00DC7AD2">
        <w:rPr>
          <w:rFonts w:asciiTheme="minorHAnsi" w:hAnsiTheme="minorHAnsi"/>
          <w:sz w:val="22"/>
        </w:rPr>
        <w:t>kršenja „</w:t>
      </w:r>
      <w:r w:rsidR="00DC7AD2" w:rsidRPr="00DC7AD2">
        <w:rPr>
          <w:rFonts w:asciiTheme="minorHAnsi" w:hAnsiTheme="minorHAnsi"/>
          <w:sz w:val="22"/>
        </w:rPr>
        <w:t>Z</w:t>
      </w:r>
      <w:r w:rsidRPr="00DC7AD2">
        <w:rPr>
          <w:rFonts w:asciiTheme="minorHAnsi" w:hAnsiTheme="minorHAnsi"/>
          <w:sz w:val="22"/>
        </w:rPr>
        <w:t>akona o konverziji“</w:t>
      </w:r>
      <w:r w:rsidR="0007705C" w:rsidRPr="00DC7AD2">
        <w:rPr>
          <w:rFonts w:asciiTheme="minorHAnsi" w:hAnsiTheme="minorHAnsi"/>
          <w:sz w:val="22"/>
        </w:rPr>
        <w:t>:</w:t>
      </w:r>
    </w:p>
    <w:p w:rsidR="00DC7AD2" w:rsidRPr="00714657" w:rsidRDefault="00DC7AD2" w:rsidP="00714657">
      <w:pPr>
        <w:pStyle w:val="Odlomakpopisa"/>
        <w:numPr>
          <w:ilvl w:val="0"/>
          <w:numId w:val="3"/>
        </w:numPr>
        <w:shd w:val="clear" w:color="auto" w:fill="FFFFFF"/>
        <w:spacing w:before="100" w:beforeAutospacing="1" w:after="100" w:afterAutospacing="1"/>
        <w:ind w:left="142" w:hanging="142"/>
        <w:jc w:val="both"/>
        <w:rPr>
          <w:sz w:val="20"/>
        </w:rPr>
      </w:pPr>
      <w:r w:rsidRPr="00714657">
        <w:rPr>
          <w:rFonts w:eastAsia="Times New Roman" w:cs="Arial"/>
          <w:szCs w:val="24"/>
        </w:rPr>
        <w:t>Lažno prikazivanje i evidentno manipuliranje eurskim kamatama.</w:t>
      </w:r>
    </w:p>
    <w:p w:rsidR="00DC7AD2" w:rsidRPr="00DC7AD2" w:rsidRDefault="0054052E" w:rsidP="00714657">
      <w:pPr>
        <w:pStyle w:val="StandardWeb"/>
        <w:numPr>
          <w:ilvl w:val="0"/>
          <w:numId w:val="3"/>
        </w:numPr>
        <w:spacing w:before="120" w:beforeAutospacing="0" w:after="120" w:afterAutospacing="0"/>
        <w:ind w:left="142" w:hanging="142"/>
        <w:jc w:val="both"/>
        <w:rPr>
          <w:rFonts w:asciiTheme="minorHAnsi" w:hAnsiTheme="minorHAnsi"/>
          <w:sz w:val="22"/>
        </w:rPr>
      </w:pPr>
      <w:r w:rsidRPr="00DC7AD2">
        <w:rPr>
          <w:rFonts w:asciiTheme="minorHAnsi" w:hAnsiTheme="minorHAnsi"/>
          <w:sz w:val="22"/>
        </w:rPr>
        <w:t>N</w:t>
      </w:r>
      <w:r w:rsidR="00927514" w:rsidRPr="00DC7AD2">
        <w:rPr>
          <w:rFonts w:asciiTheme="minorHAnsi" w:hAnsiTheme="minorHAnsi"/>
          <w:sz w:val="22"/>
        </w:rPr>
        <w:t>epriznavanje statusa klijenta i drugih pogodnosti koje je dužnik imao u CHF kreditu, a što su banke obavezne prim</w:t>
      </w:r>
      <w:r w:rsidRPr="00DC7AD2">
        <w:rPr>
          <w:rFonts w:asciiTheme="minorHAnsi" w:hAnsiTheme="minorHAnsi"/>
          <w:sz w:val="22"/>
        </w:rPr>
        <w:t>ijeniti po zakonu (članak 19c stavak 2</w:t>
      </w:r>
      <w:r w:rsidR="00DC7AD2" w:rsidRPr="00DC7AD2">
        <w:rPr>
          <w:rFonts w:asciiTheme="minorHAnsi" w:hAnsiTheme="minorHAnsi"/>
          <w:sz w:val="22"/>
        </w:rPr>
        <w:t>.</w:t>
      </w:r>
      <w:r w:rsidRPr="00DC7AD2">
        <w:rPr>
          <w:rFonts w:asciiTheme="minorHAnsi" w:hAnsiTheme="minorHAnsi"/>
          <w:sz w:val="22"/>
        </w:rPr>
        <w:t xml:space="preserve"> i članak 19e stavak8</w:t>
      </w:r>
      <w:r w:rsidR="00DC7AD2" w:rsidRPr="00DC7AD2">
        <w:rPr>
          <w:rFonts w:asciiTheme="minorHAnsi" w:hAnsiTheme="minorHAnsi"/>
          <w:sz w:val="22"/>
        </w:rPr>
        <w:t>.</w:t>
      </w:r>
      <w:r w:rsidRPr="00DC7AD2">
        <w:rPr>
          <w:rFonts w:asciiTheme="minorHAnsi" w:hAnsiTheme="minorHAnsi"/>
          <w:sz w:val="22"/>
        </w:rPr>
        <w:t xml:space="preserve">). Radi se o </w:t>
      </w:r>
      <w:r w:rsidR="00927514" w:rsidRPr="00DC7AD2">
        <w:rPr>
          <w:rFonts w:asciiTheme="minorHAnsi" w:hAnsiTheme="minorHAnsi"/>
          <w:sz w:val="22"/>
        </w:rPr>
        <w:t>direktno</w:t>
      </w:r>
      <w:r w:rsidRPr="00DC7AD2">
        <w:rPr>
          <w:rFonts w:asciiTheme="minorHAnsi" w:hAnsiTheme="minorHAnsi"/>
          <w:sz w:val="22"/>
        </w:rPr>
        <w:t>m kršenju</w:t>
      </w:r>
      <w:r w:rsidR="00927514" w:rsidRPr="00DC7AD2">
        <w:rPr>
          <w:rFonts w:asciiTheme="minorHAnsi" w:hAnsiTheme="minorHAnsi"/>
          <w:sz w:val="22"/>
        </w:rPr>
        <w:t xml:space="preserve"> zakona</w:t>
      </w:r>
      <w:r w:rsidRPr="00DC7AD2">
        <w:rPr>
          <w:rFonts w:asciiTheme="minorHAnsi" w:hAnsiTheme="minorHAnsi"/>
          <w:sz w:val="22"/>
        </w:rPr>
        <w:t xml:space="preserve"> i uvećanju povijesnog kretanja EUR kamatne stope u simuliranom otplatnom planu. O</w:t>
      </w:r>
      <w:r w:rsidR="00927514" w:rsidRPr="00DC7AD2">
        <w:rPr>
          <w:rFonts w:asciiTheme="minorHAnsi" w:hAnsiTheme="minorHAnsi"/>
          <w:sz w:val="22"/>
        </w:rPr>
        <w:t>vom manipulacijom</w:t>
      </w:r>
      <w:r w:rsidR="0007705C" w:rsidRPr="00DC7AD2">
        <w:rPr>
          <w:rFonts w:asciiTheme="minorHAnsi" w:hAnsiTheme="minorHAnsi"/>
          <w:sz w:val="22"/>
        </w:rPr>
        <w:t xml:space="preserve"> i preva</w:t>
      </w:r>
      <w:r w:rsidRPr="00DC7AD2">
        <w:rPr>
          <w:rFonts w:asciiTheme="minorHAnsi" w:hAnsiTheme="minorHAnsi"/>
          <w:sz w:val="22"/>
        </w:rPr>
        <w:t>rom</w:t>
      </w:r>
      <w:r w:rsidR="00927514" w:rsidRPr="00DC7AD2">
        <w:rPr>
          <w:rFonts w:asciiTheme="minorHAnsi" w:hAnsiTheme="minorHAnsi"/>
          <w:sz w:val="22"/>
        </w:rPr>
        <w:t xml:space="preserve"> dužnicima je ukradeno od 1000 do 5000 eura preplate u pojedinim slučajevi</w:t>
      </w:r>
      <w:r w:rsidRPr="00DC7AD2">
        <w:rPr>
          <w:rFonts w:asciiTheme="minorHAnsi" w:hAnsiTheme="minorHAnsi"/>
          <w:sz w:val="22"/>
        </w:rPr>
        <w:t xml:space="preserve">ma. Ovdje se zapravo radi o stjecanju nepripadajuće dobiti u korist banke, bez </w:t>
      </w:r>
      <w:r w:rsidR="0007705C" w:rsidRPr="00DC7AD2">
        <w:rPr>
          <w:rFonts w:asciiTheme="minorHAnsi" w:hAnsiTheme="minorHAnsi"/>
          <w:sz w:val="22"/>
        </w:rPr>
        <w:t xml:space="preserve">ikakvih </w:t>
      </w:r>
      <w:r w:rsidR="00DC7AD2" w:rsidRPr="00DC7AD2">
        <w:rPr>
          <w:rFonts w:asciiTheme="minorHAnsi" w:hAnsiTheme="minorHAnsi"/>
          <w:sz w:val="22"/>
        </w:rPr>
        <w:t>zakonskih osnova.</w:t>
      </w:r>
    </w:p>
    <w:p w:rsidR="00DC7AD2" w:rsidRPr="00DC7AD2" w:rsidRDefault="0054052E" w:rsidP="00714657">
      <w:pPr>
        <w:pStyle w:val="StandardWeb"/>
        <w:numPr>
          <w:ilvl w:val="0"/>
          <w:numId w:val="3"/>
        </w:numPr>
        <w:spacing w:before="120" w:beforeAutospacing="0" w:after="120" w:afterAutospacing="0"/>
        <w:ind w:left="142" w:hanging="142"/>
        <w:jc w:val="both"/>
        <w:rPr>
          <w:rFonts w:asciiTheme="minorHAnsi" w:hAnsiTheme="minorHAnsi"/>
          <w:sz w:val="22"/>
        </w:rPr>
      </w:pPr>
      <w:r w:rsidRPr="00DC7AD2">
        <w:rPr>
          <w:rFonts w:asciiTheme="minorHAnsi" w:hAnsiTheme="minorHAnsi"/>
          <w:sz w:val="22"/>
        </w:rPr>
        <w:t>La</w:t>
      </w:r>
      <w:r w:rsidR="00927514" w:rsidRPr="00DC7AD2">
        <w:rPr>
          <w:rFonts w:asciiTheme="minorHAnsi" w:hAnsiTheme="minorHAnsi"/>
          <w:sz w:val="22"/>
        </w:rPr>
        <w:t>žno utvrđivanje i povećanje početne glavnice od strane ban</w:t>
      </w:r>
      <w:r w:rsidRPr="00DC7AD2">
        <w:rPr>
          <w:rFonts w:asciiTheme="minorHAnsi" w:hAnsiTheme="minorHAnsi"/>
          <w:sz w:val="22"/>
        </w:rPr>
        <w:t>aka kroz manipulacije tečaja. Pojedine b</w:t>
      </w:r>
      <w:r w:rsidR="00927514" w:rsidRPr="00DC7AD2">
        <w:rPr>
          <w:rFonts w:asciiTheme="minorHAnsi" w:hAnsiTheme="minorHAnsi"/>
          <w:sz w:val="22"/>
        </w:rPr>
        <w:t>anke utvrđuju veću početnu glavnicu u kunama, veću nego je stvarno isplaćena dužniku u</w:t>
      </w:r>
      <w:r w:rsidRPr="00DC7AD2">
        <w:rPr>
          <w:rFonts w:asciiTheme="minorHAnsi" w:hAnsiTheme="minorHAnsi"/>
          <w:sz w:val="22"/>
        </w:rPr>
        <w:t xml:space="preserve"> kreditu. Na </w:t>
      </w:r>
      <w:r w:rsidR="00927514" w:rsidRPr="00DC7AD2">
        <w:rPr>
          <w:rFonts w:asciiTheme="minorHAnsi" w:hAnsiTheme="minorHAnsi"/>
          <w:sz w:val="22"/>
        </w:rPr>
        <w:t>ovaj način</w:t>
      </w:r>
      <w:r w:rsidRPr="00DC7AD2">
        <w:rPr>
          <w:rFonts w:asciiTheme="minorHAnsi" w:hAnsiTheme="minorHAnsi"/>
          <w:sz w:val="22"/>
        </w:rPr>
        <w:t xml:space="preserve"> su spomenute banke</w:t>
      </w:r>
      <w:r w:rsidR="00927514" w:rsidRPr="00DC7AD2">
        <w:rPr>
          <w:rFonts w:asciiTheme="minorHAnsi" w:hAnsiTheme="minorHAnsi"/>
          <w:sz w:val="22"/>
        </w:rPr>
        <w:t xml:space="preserve"> povećale početne glavnice do 5%</w:t>
      </w:r>
      <w:r w:rsidR="00DC7AD2" w:rsidRPr="00DC7AD2">
        <w:rPr>
          <w:rFonts w:asciiTheme="minorHAnsi" w:hAnsiTheme="minorHAnsi"/>
          <w:sz w:val="22"/>
        </w:rPr>
        <w:t>.</w:t>
      </w:r>
    </w:p>
    <w:p w:rsidR="00DC7AD2" w:rsidRPr="00DC7AD2" w:rsidRDefault="00DC7AD2" w:rsidP="00714657">
      <w:pPr>
        <w:pStyle w:val="StandardWeb"/>
        <w:numPr>
          <w:ilvl w:val="0"/>
          <w:numId w:val="3"/>
        </w:numPr>
        <w:spacing w:before="120" w:beforeAutospacing="0" w:after="120" w:afterAutospacing="0"/>
        <w:ind w:left="142" w:hanging="142"/>
        <w:jc w:val="both"/>
        <w:rPr>
          <w:rFonts w:asciiTheme="minorHAnsi" w:hAnsiTheme="minorHAnsi"/>
          <w:sz w:val="22"/>
        </w:rPr>
      </w:pPr>
      <w:r w:rsidRPr="00DC7AD2">
        <w:rPr>
          <w:rFonts w:asciiTheme="minorHAnsi" w:hAnsiTheme="minorHAnsi"/>
          <w:sz w:val="22"/>
        </w:rPr>
        <w:t>Nezakonito uvjetovanje konverzije jednokratnom isplatom utvrđenog manjka uplata.</w:t>
      </w:r>
    </w:p>
    <w:p w:rsidR="00DC7AD2" w:rsidRPr="00DC7AD2" w:rsidRDefault="00DC7AD2" w:rsidP="00714657">
      <w:pPr>
        <w:pStyle w:val="StandardWeb"/>
        <w:numPr>
          <w:ilvl w:val="0"/>
          <w:numId w:val="3"/>
        </w:numPr>
        <w:spacing w:before="120" w:beforeAutospacing="0" w:after="120" w:afterAutospacing="0"/>
        <w:ind w:left="142" w:hanging="142"/>
        <w:jc w:val="both"/>
        <w:rPr>
          <w:rFonts w:asciiTheme="minorHAnsi" w:hAnsiTheme="minorHAnsi"/>
          <w:sz w:val="22"/>
        </w:rPr>
      </w:pPr>
      <w:r w:rsidRPr="00DC7AD2">
        <w:rPr>
          <w:rFonts w:asciiTheme="minorHAnsi" w:hAnsiTheme="minorHAnsi"/>
          <w:sz w:val="22"/>
        </w:rPr>
        <w:t>Nezakonito izdvajanje dospjele glavnice iz konverzije i uvjetovanje konverzije njenom jednokratnom isplatom.</w:t>
      </w:r>
    </w:p>
    <w:p w:rsidR="004F1D44" w:rsidRDefault="00644473" w:rsidP="0007705C">
      <w:pPr>
        <w:pStyle w:val="StandardWeb"/>
        <w:numPr>
          <w:ilvl w:val="0"/>
          <w:numId w:val="3"/>
        </w:numPr>
        <w:spacing w:before="120" w:beforeAutospacing="0" w:after="120" w:afterAutospacing="0"/>
        <w:ind w:left="142" w:hanging="142"/>
        <w:jc w:val="both"/>
        <w:rPr>
          <w:rFonts w:asciiTheme="minorHAnsi" w:hAnsiTheme="minorHAnsi"/>
          <w:sz w:val="22"/>
        </w:rPr>
      </w:pPr>
      <w:r w:rsidRPr="00DC7AD2">
        <w:rPr>
          <w:rFonts w:asciiTheme="minorHAnsi" w:hAnsiTheme="minorHAnsi"/>
          <w:sz w:val="22"/>
        </w:rPr>
        <w:t xml:space="preserve">Derogiranje prava dužnika </w:t>
      </w:r>
      <w:r w:rsidR="00DC7AD2" w:rsidRPr="00DC7AD2">
        <w:rPr>
          <w:rFonts w:asciiTheme="minorHAnsi" w:hAnsiTheme="minorHAnsi"/>
          <w:sz w:val="22"/>
        </w:rPr>
        <w:t xml:space="preserve">u aneksima ugovora o konverziji na način da se korisnici kredita </w:t>
      </w:r>
      <w:r w:rsidR="00DC7AD2" w:rsidRPr="00DC7AD2">
        <w:rPr>
          <w:rFonts w:asciiTheme="minorHAnsi" w:hAnsiTheme="minorHAnsi" w:cs="Arial"/>
          <w:sz w:val="22"/>
        </w:rPr>
        <w:t xml:space="preserve">prisiljavaju da, pod krinkom konverzije, pristanu na cijeli niz odredaba u Aneksima ugovora koje su evidentno nezakonite i koja im se uskraćuju zakonska prava. </w:t>
      </w:r>
      <w:r w:rsidRPr="00DC7AD2">
        <w:rPr>
          <w:rFonts w:asciiTheme="minorHAnsi" w:hAnsiTheme="minorHAnsi"/>
          <w:sz w:val="22"/>
        </w:rPr>
        <w:t xml:space="preserve">Ovdje se najbolje vidi bahatost </w:t>
      </w:r>
    </w:p>
    <w:p w:rsidR="004F1D44" w:rsidRDefault="004F1D44" w:rsidP="004F1D44">
      <w:pPr>
        <w:pStyle w:val="StandardWeb"/>
        <w:spacing w:before="120" w:beforeAutospacing="0" w:after="120" w:afterAutospacing="0"/>
        <w:ind w:left="142"/>
        <w:jc w:val="both"/>
        <w:rPr>
          <w:rFonts w:asciiTheme="minorHAnsi" w:hAnsiTheme="minorHAnsi"/>
          <w:sz w:val="22"/>
        </w:rPr>
      </w:pPr>
    </w:p>
    <w:p w:rsidR="00DC7AD2" w:rsidRDefault="00644473" w:rsidP="004F1D44">
      <w:pPr>
        <w:pStyle w:val="StandardWeb"/>
        <w:spacing w:before="120" w:beforeAutospacing="0" w:after="120" w:afterAutospacing="0"/>
        <w:ind w:left="142"/>
        <w:jc w:val="both"/>
        <w:rPr>
          <w:rFonts w:asciiTheme="minorHAnsi" w:hAnsiTheme="minorHAnsi"/>
          <w:sz w:val="22"/>
        </w:rPr>
      </w:pPr>
      <w:r w:rsidRPr="00DC7AD2">
        <w:rPr>
          <w:rFonts w:asciiTheme="minorHAnsi" w:hAnsiTheme="minorHAnsi"/>
          <w:sz w:val="22"/>
        </w:rPr>
        <w:t xml:space="preserve">banaka. Podsjećamo, iako su druge banke povukle, da Hypo banka još uvijek nije </w:t>
      </w:r>
      <w:r w:rsidR="00DC7AD2" w:rsidRPr="00DC7AD2">
        <w:rPr>
          <w:rFonts w:asciiTheme="minorHAnsi" w:hAnsiTheme="minorHAnsi"/>
          <w:sz w:val="22"/>
        </w:rPr>
        <w:t xml:space="preserve">povukla niti </w:t>
      </w:r>
      <w:r w:rsidRPr="00DC7AD2">
        <w:rPr>
          <w:rFonts w:asciiTheme="minorHAnsi" w:hAnsiTheme="minorHAnsi"/>
          <w:sz w:val="22"/>
        </w:rPr>
        <w:t>službeno najavila povlačenje odredbe aneksa u slučaju ukidanja zakona od strane Ustavnog suda.</w:t>
      </w:r>
    </w:p>
    <w:p w:rsidR="00714657" w:rsidRPr="00714657" w:rsidRDefault="00714657" w:rsidP="00714657">
      <w:pPr>
        <w:pStyle w:val="StandardWeb"/>
        <w:spacing w:before="120" w:beforeAutospacing="0" w:after="120" w:afterAutospacing="0"/>
        <w:ind w:left="142"/>
        <w:jc w:val="both"/>
        <w:rPr>
          <w:rFonts w:asciiTheme="minorHAnsi" w:hAnsiTheme="minorHAnsi"/>
          <w:sz w:val="22"/>
        </w:rPr>
      </w:pPr>
    </w:p>
    <w:p w:rsidR="0007705C" w:rsidRPr="00644473" w:rsidRDefault="00927514" w:rsidP="0007705C">
      <w:pPr>
        <w:pStyle w:val="StandardWeb"/>
        <w:spacing w:before="120" w:beforeAutospacing="0" w:after="120" w:afterAutospacing="0"/>
        <w:jc w:val="both"/>
        <w:rPr>
          <w:rFonts w:asciiTheme="minorHAnsi" w:hAnsiTheme="minorHAnsi"/>
          <w:b/>
        </w:rPr>
      </w:pPr>
      <w:r w:rsidRPr="00644473">
        <w:rPr>
          <w:rFonts w:asciiTheme="minorHAnsi" w:hAnsiTheme="minorHAnsi"/>
          <w:b/>
        </w:rPr>
        <w:t xml:space="preserve">DOVOĐENJE DUŽNIKA </w:t>
      </w:r>
      <w:r w:rsidR="0007705C" w:rsidRPr="00644473">
        <w:rPr>
          <w:rFonts w:asciiTheme="minorHAnsi" w:hAnsiTheme="minorHAnsi"/>
          <w:b/>
        </w:rPr>
        <w:t>U NEPRAVEDAN I NEPOŠTEN POLOŽAJ</w:t>
      </w:r>
    </w:p>
    <w:p w:rsidR="00927514" w:rsidRPr="00DC7AD2" w:rsidRDefault="00927514" w:rsidP="0007705C">
      <w:pPr>
        <w:pStyle w:val="StandardWeb"/>
        <w:spacing w:before="120" w:beforeAutospacing="0" w:after="120" w:afterAutospacing="0"/>
        <w:jc w:val="both"/>
        <w:rPr>
          <w:rFonts w:asciiTheme="minorHAnsi" w:hAnsiTheme="minorHAnsi"/>
          <w:sz w:val="22"/>
        </w:rPr>
      </w:pPr>
      <w:r w:rsidRPr="00DC7AD2">
        <w:rPr>
          <w:rFonts w:asciiTheme="minorHAnsi" w:hAnsiTheme="minorHAnsi"/>
          <w:sz w:val="22"/>
        </w:rPr>
        <w:t>- HNB se pokušava unaprijed opravdati da neće biti u mogućnosti provjeriti sve nepravilnosti u dostavljenim aneksima i izračunima konverzije, a prije svega se to odnosi na točno utvrđivanje veličina i promjena kamat</w:t>
      </w:r>
      <w:r w:rsidR="0007705C" w:rsidRPr="00DC7AD2">
        <w:rPr>
          <w:rFonts w:asciiTheme="minorHAnsi" w:hAnsiTheme="minorHAnsi"/>
          <w:sz w:val="22"/>
        </w:rPr>
        <w:t>a u pojedinim vrstama EUR kredita</w:t>
      </w:r>
      <w:r w:rsidRPr="00DC7AD2">
        <w:rPr>
          <w:rFonts w:asciiTheme="minorHAnsi" w:hAnsiTheme="minorHAnsi"/>
          <w:sz w:val="22"/>
        </w:rPr>
        <w:t>.</w:t>
      </w:r>
    </w:p>
    <w:p w:rsidR="00DC7AD2" w:rsidRPr="00DC7AD2" w:rsidRDefault="00927514" w:rsidP="00DC7AD2">
      <w:pPr>
        <w:pStyle w:val="StandardWeb"/>
        <w:shd w:val="clear" w:color="auto" w:fill="FFFFFF"/>
        <w:jc w:val="both"/>
        <w:rPr>
          <w:rFonts w:asciiTheme="minorHAnsi" w:hAnsiTheme="minorHAnsi" w:cs="Arial"/>
          <w:color w:val="222222"/>
          <w:sz w:val="22"/>
        </w:rPr>
      </w:pPr>
      <w:r w:rsidRPr="00DC7AD2">
        <w:rPr>
          <w:rFonts w:asciiTheme="minorHAnsi" w:hAnsiTheme="minorHAnsi"/>
          <w:sz w:val="22"/>
        </w:rPr>
        <w:t xml:space="preserve">- </w:t>
      </w:r>
      <w:r w:rsidR="00DC7AD2" w:rsidRPr="00DC7AD2">
        <w:rPr>
          <w:rFonts w:asciiTheme="minorHAnsi" w:hAnsiTheme="minorHAnsi" w:cs="Arial"/>
          <w:color w:val="222222"/>
          <w:sz w:val="22"/>
        </w:rPr>
        <w:t>Gotovo je nevjerojatno da jedno tijelo ovakvog značaja, nadzorno tijelo u poslovanju svih banaka, u jednoj uređenoj državi može javno izjaviti da nije u stanju raditi svoj posao. HNB javno potvrđuje da neće reagirati, da ponovno kasni i da ponovno tolerira evidentna kršenja zakona. HNB ponovno građane prepušta na samovolju banaka  i dozvoljava da se dužnike dovodi u bezizlaznu poziciju gdje su dužnici primorani odlučiti u roku 30 dana o prihvatu izra</w:t>
      </w:r>
      <w:r w:rsidR="00714657">
        <w:rPr>
          <w:rFonts w:asciiTheme="minorHAnsi" w:hAnsiTheme="minorHAnsi" w:cs="Arial"/>
          <w:color w:val="222222"/>
          <w:sz w:val="22"/>
        </w:rPr>
        <w:t>čuna konverzije, iako je evidentno</w:t>
      </w:r>
      <w:r w:rsidR="00DC7AD2" w:rsidRPr="00DC7AD2">
        <w:rPr>
          <w:rFonts w:asciiTheme="minorHAnsi" w:hAnsiTheme="minorHAnsi" w:cs="Arial"/>
          <w:color w:val="222222"/>
          <w:sz w:val="22"/>
        </w:rPr>
        <w:t xml:space="preserve"> da izračuni nisu točni i da su</w:t>
      </w:r>
      <w:r w:rsidR="00714657">
        <w:rPr>
          <w:rFonts w:asciiTheme="minorHAnsi" w:hAnsiTheme="minorHAnsi" w:cs="Arial"/>
          <w:color w:val="222222"/>
          <w:sz w:val="22"/>
        </w:rPr>
        <w:t xml:space="preserve"> dužnici</w:t>
      </w:r>
      <w:r w:rsidR="00DC7AD2" w:rsidRPr="00DC7AD2">
        <w:rPr>
          <w:rFonts w:asciiTheme="minorHAnsi" w:hAnsiTheme="minorHAnsi" w:cs="Arial"/>
          <w:color w:val="222222"/>
          <w:sz w:val="22"/>
        </w:rPr>
        <w:t xml:space="preserve"> u osporavanju istih gotovo bespomoćni. HNB najavom da neće stići odraditi nadzor nad provođenjem konverzije preuzima izravnu odgovornost za dovođenje dužnika u ovakvu nezahvalnu poziciju te sve nezakonitosti koje se dogode.</w:t>
      </w:r>
    </w:p>
    <w:p w:rsidR="00927514" w:rsidRPr="00DC7AD2" w:rsidRDefault="00927514" w:rsidP="0007705C">
      <w:pPr>
        <w:pStyle w:val="StandardWeb"/>
        <w:spacing w:before="120" w:beforeAutospacing="0" w:after="120" w:afterAutospacing="0"/>
        <w:jc w:val="both"/>
        <w:rPr>
          <w:rFonts w:asciiTheme="minorHAnsi" w:hAnsiTheme="minorHAnsi"/>
          <w:sz w:val="22"/>
        </w:rPr>
      </w:pPr>
      <w:r w:rsidRPr="00DC7AD2">
        <w:rPr>
          <w:rFonts w:asciiTheme="minorHAnsi" w:hAnsiTheme="minorHAnsi"/>
          <w:sz w:val="22"/>
        </w:rPr>
        <w:t xml:space="preserve">- Udruga Franak je prije </w:t>
      </w:r>
      <w:r w:rsidR="00DC7AD2" w:rsidRPr="00DC7AD2">
        <w:rPr>
          <w:rFonts w:asciiTheme="minorHAnsi" w:hAnsiTheme="minorHAnsi"/>
          <w:sz w:val="22"/>
        </w:rPr>
        <w:t xml:space="preserve">puna dva mjeseca (25.9.2015.) </w:t>
      </w:r>
      <w:r w:rsidRPr="00DC7AD2">
        <w:rPr>
          <w:rFonts w:asciiTheme="minorHAnsi" w:hAnsiTheme="minorHAnsi"/>
          <w:sz w:val="22"/>
        </w:rPr>
        <w:t>poslala zahtjev HNB-u da utvrdi i dostavi sve izmjene kamatnih stopa u eurskim kreditima od 2001. na ovamo za sve banke koje su obuhvaćene zakonom o konverzi</w:t>
      </w:r>
      <w:r w:rsidR="0007705C" w:rsidRPr="00DC7AD2">
        <w:rPr>
          <w:rFonts w:asciiTheme="minorHAnsi" w:hAnsiTheme="minorHAnsi"/>
          <w:sz w:val="22"/>
        </w:rPr>
        <w:t xml:space="preserve">ji. HNB je odgovorio da </w:t>
      </w:r>
      <w:r w:rsidR="00DC7AD2" w:rsidRPr="00DC7AD2">
        <w:rPr>
          <w:rFonts w:asciiTheme="minorHAnsi" w:hAnsiTheme="minorHAnsi"/>
          <w:sz w:val="22"/>
        </w:rPr>
        <w:t xml:space="preserve">tek od 2011. godine </w:t>
      </w:r>
      <w:r w:rsidR="0007705C" w:rsidRPr="00DC7AD2">
        <w:rPr>
          <w:rFonts w:asciiTheme="minorHAnsi" w:hAnsiTheme="minorHAnsi"/>
          <w:sz w:val="22"/>
        </w:rPr>
        <w:t>posjeduje podatke o kretanjima kamatnih stopa</w:t>
      </w:r>
      <w:r w:rsidR="00DC7AD2" w:rsidRPr="00DC7AD2">
        <w:rPr>
          <w:rFonts w:asciiTheme="minorHAnsi" w:hAnsiTheme="minorHAnsi"/>
          <w:sz w:val="22"/>
        </w:rPr>
        <w:t xml:space="preserve">. Udruga Franak podnijela je žalbu Povjerenici za informiranje još 3.11.2015. osporavajući ove navode kao neistinite, no sve da je ovo i točno i da HNB uistinu nema podatke banaka o kretanju kamatnih stopa do 2011. godine, </w:t>
      </w:r>
      <w:r w:rsidRPr="00DC7AD2">
        <w:rPr>
          <w:rFonts w:asciiTheme="minorHAnsi" w:hAnsiTheme="minorHAnsi"/>
          <w:sz w:val="22"/>
        </w:rPr>
        <w:t>HNB j</w:t>
      </w:r>
      <w:r w:rsidR="0007705C" w:rsidRPr="00DC7AD2">
        <w:rPr>
          <w:rFonts w:asciiTheme="minorHAnsi" w:hAnsiTheme="minorHAnsi"/>
          <w:sz w:val="22"/>
        </w:rPr>
        <w:t xml:space="preserve">e </w:t>
      </w:r>
      <w:r w:rsidR="00DC7AD2" w:rsidRPr="00DC7AD2">
        <w:rPr>
          <w:rFonts w:asciiTheme="minorHAnsi" w:hAnsiTheme="minorHAnsi"/>
          <w:sz w:val="22"/>
        </w:rPr>
        <w:t xml:space="preserve">već </w:t>
      </w:r>
      <w:r w:rsidR="0007705C" w:rsidRPr="00DC7AD2">
        <w:rPr>
          <w:rFonts w:asciiTheme="minorHAnsi" w:hAnsiTheme="minorHAnsi"/>
          <w:sz w:val="22"/>
        </w:rPr>
        <w:t>tada</w:t>
      </w:r>
      <w:r w:rsidR="00DC7AD2" w:rsidRPr="00DC7AD2">
        <w:rPr>
          <w:rFonts w:asciiTheme="minorHAnsi" w:hAnsiTheme="minorHAnsi"/>
          <w:sz w:val="22"/>
        </w:rPr>
        <w:t>, prije dva mjeseca,</w:t>
      </w:r>
      <w:r w:rsidR="0007705C" w:rsidRPr="00DC7AD2">
        <w:rPr>
          <w:rFonts w:asciiTheme="minorHAnsi" w:hAnsiTheme="minorHAnsi"/>
          <w:sz w:val="22"/>
        </w:rPr>
        <w:t xml:space="preserve"> mora</w:t>
      </w:r>
      <w:r w:rsidR="00DC7AD2" w:rsidRPr="00DC7AD2">
        <w:rPr>
          <w:rFonts w:asciiTheme="minorHAnsi" w:hAnsiTheme="minorHAnsi"/>
          <w:sz w:val="22"/>
        </w:rPr>
        <w:t>o</w:t>
      </w:r>
      <w:r w:rsidRPr="00DC7AD2">
        <w:rPr>
          <w:rFonts w:asciiTheme="minorHAnsi" w:hAnsiTheme="minorHAnsi"/>
          <w:sz w:val="22"/>
        </w:rPr>
        <w:t xml:space="preserve"> započeti s radnjam</w:t>
      </w:r>
      <w:r w:rsidR="0007705C" w:rsidRPr="00DC7AD2">
        <w:rPr>
          <w:rFonts w:asciiTheme="minorHAnsi" w:hAnsiTheme="minorHAnsi"/>
          <w:sz w:val="22"/>
        </w:rPr>
        <w:t xml:space="preserve">a </w:t>
      </w:r>
      <w:r w:rsidR="00DC7AD2" w:rsidRPr="00DC7AD2">
        <w:rPr>
          <w:rFonts w:asciiTheme="minorHAnsi" w:hAnsiTheme="minorHAnsi"/>
          <w:sz w:val="22"/>
        </w:rPr>
        <w:t>utvrđivanja</w:t>
      </w:r>
      <w:r w:rsidR="0007705C" w:rsidRPr="00DC7AD2">
        <w:rPr>
          <w:rFonts w:asciiTheme="minorHAnsi" w:hAnsiTheme="minorHAnsi"/>
          <w:sz w:val="22"/>
        </w:rPr>
        <w:t xml:space="preserve"> svih potrebnih podataka</w:t>
      </w:r>
      <w:r w:rsidRPr="00DC7AD2">
        <w:rPr>
          <w:rFonts w:asciiTheme="minorHAnsi" w:hAnsiTheme="minorHAnsi"/>
          <w:sz w:val="22"/>
        </w:rPr>
        <w:t xml:space="preserve"> kako bi se konverzija mogla nesmetano provesti.</w:t>
      </w:r>
    </w:p>
    <w:p w:rsidR="00927514" w:rsidRPr="00DC7AD2" w:rsidRDefault="00927514" w:rsidP="0007705C">
      <w:pPr>
        <w:pStyle w:val="StandardWeb"/>
        <w:spacing w:before="120" w:beforeAutospacing="0" w:after="120" w:afterAutospacing="0"/>
        <w:jc w:val="both"/>
        <w:rPr>
          <w:rFonts w:asciiTheme="minorHAnsi" w:hAnsiTheme="minorHAnsi"/>
          <w:sz w:val="22"/>
        </w:rPr>
      </w:pPr>
      <w:r w:rsidRPr="00DC7AD2">
        <w:rPr>
          <w:rFonts w:asciiTheme="minorHAnsi" w:hAnsiTheme="minorHAnsi"/>
          <w:sz w:val="22"/>
        </w:rPr>
        <w:t xml:space="preserve">- Udruga Franak </w:t>
      </w:r>
      <w:r w:rsidR="00DC7AD2" w:rsidRPr="00DC7AD2">
        <w:rPr>
          <w:rFonts w:asciiTheme="minorHAnsi" w:hAnsiTheme="minorHAnsi"/>
          <w:sz w:val="22"/>
        </w:rPr>
        <w:t>odmah nakon zaprimanja prvih Prijedloga konverzije</w:t>
      </w:r>
      <w:r w:rsidRPr="00DC7AD2">
        <w:rPr>
          <w:rFonts w:asciiTheme="minorHAnsi" w:hAnsiTheme="minorHAnsi"/>
          <w:sz w:val="22"/>
        </w:rPr>
        <w:t xml:space="preserve"> poslala </w:t>
      </w:r>
      <w:r w:rsidR="00DC7AD2" w:rsidRPr="00DC7AD2">
        <w:rPr>
          <w:rFonts w:asciiTheme="minorHAnsi" w:hAnsiTheme="minorHAnsi"/>
          <w:sz w:val="22"/>
        </w:rPr>
        <w:t xml:space="preserve">je </w:t>
      </w:r>
      <w:r w:rsidRPr="00DC7AD2">
        <w:rPr>
          <w:rFonts w:asciiTheme="minorHAnsi" w:hAnsiTheme="minorHAnsi"/>
          <w:sz w:val="22"/>
        </w:rPr>
        <w:t>HNB-u prijave protiv pojedinih banaka gdje je</w:t>
      </w:r>
      <w:r w:rsidR="0007705C" w:rsidRPr="00DC7AD2">
        <w:rPr>
          <w:rFonts w:asciiTheme="minorHAnsi" w:hAnsiTheme="minorHAnsi"/>
          <w:sz w:val="22"/>
        </w:rPr>
        <w:t xml:space="preserve"> utvrdila teška kršenja ZID ZPK </w:t>
      </w:r>
      <w:r w:rsidR="00DC7AD2" w:rsidRPr="00DC7AD2">
        <w:rPr>
          <w:rFonts w:asciiTheme="minorHAnsi" w:hAnsiTheme="minorHAnsi"/>
          <w:sz w:val="22"/>
        </w:rPr>
        <w:t>(</w:t>
      </w:r>
      <w:r w:rsidR="0007705C" w:rsidRPr="00DC7AD2">
        <w:rPr>
          <w:rFonts w:asciiTheme="minorHAnsi" w:hAnsiTheme="minorHAnsi"/>
          <w:sz w:val="22"/>
        </w:rPr>
        <w:t>NN 102/15</w:t>
      </w:r>
      <w:r w:rsidR="00DC7AD2" w:rsidRPr="00DC7AD2">
        <w:rPr>
          <w:rFonts w:asciiTheme="minorHAnsi" w:hAnsiTheme="minorHAnsi"/>
          <w:sz w:val="22"/>
        </w:rPr>
        <w:t>)</w:t>
      </w:r>
      <w:r w:rsidR="0007705C" w:rsidRPr="00DC7AD2">
        <w:rPr>
          <w:rFonts w:asciiTheme="minorHAnsi" w:hAnsiTheme="minorHAnsi"/>
          <w:sz w:val="22"/>
        </w:rPr>
        <w:t xml:space="preserve">. Može se </w:t>
      </w:r>
      <w:r w:rsidR="00DC7AD2" w:rsidRPr="00DC7AD2">
        <w:rPr>
          <w:rFonts w:asciiTheme="minorHAnsi" w:hAnsiTheme="minorHAnsi"/>
          <w:sz w:val="22"/>
        </w:rPr>
        <w:t xml:space="preserve">slobodno </w:t>
      </w:r>
      <w:r w:rsidR="0007705C" w:rsidRPr="00DC7AD2">
        <w:rPr>
          <w:rFonts w:asciiTheme="minorHAnsi" w:hAnsiTheme="minorHAnsi"/>
          <w:sz w:val="22"/>
        </w:rPr>
        <w:t xml:space="preserve">reći da je Udruga Franak zapravo </w:t>
      </w:r>
      <w:r w:rsidR="00DC7AD2" w:rsidRPr="00DC7AD2">
        <w:rPr>
          <w:rFonts w:asciiTheme="minorHAnsi" w:hAnsiTheme="minorHAnsi"/>
          <w:sz w:val="22"/>
        </w:rPr>
        <w:t xml:space="preserve">odradila posao koji sukladno Zakonu o kreditnim institucijama i Zakonu o potrošačkom kreditiranju mora raditi HNB i za koji su guverner, svi viceguverneri i zaposlenici HNB-a više nego dobro plaćeni. Dakle, nakon što je Udruga Franak HNB-u detaljno i dokumentirano dostavila </w:t>
      </w:r>
      <w:r w:rsidR="0007705C" w:rsidRPr="00DC7AD2">
        <w:rPr>
          <w:rFonts w:asciiTheme="minorHAnsi" w:hAnsiTheme="minorHAnsi"/>
          <w:sz w:val="22"/>
        </w:rPr>
        <w:t>nezakonitosti i nepravilnosti u provođe</w:t>
      </w:r>
      <w:r w:rsidR="00DC7AD2" w:rsidRPr="00DC7AD2">
        <w:rPr>
          <w:rFonts w:asciiTheme="minorHAnsi" w:hAnsiTheme="minorHAnsi"/>
          <w:sz w:val="22"/>
        </w:rPr>
        <w:t xml:space="preserve">nju konverzije od strane banaka, </w:t>
      </w:r>
      <w:r w:rsidR="0007705C" w:rsidRPr="00DC7AD2">
        <w:rPr>
          <w:rFonts w:asciiTheme="minorHAnsi" w:hAnsiTheme="minorHAnsi"/>
          <w:sz w:val="22"/>
        </w:rPr>
        <w:t xml:space="preserve">neprihvatljivo </w:t>
      </w:r>
      <w:r w:rsidR="00DC7AD2" w:rsidRPr="00DC7AD2">
        <w:rPr>
          <w:rFonts w:asciiTheme="minorHAnsi" w:hAnsiTheme="minorHAnsi"/>
          <w:sz w:val="22"/>
        </w:rPr>
        <w:t xml:space="preserve">je </w:t>
      </w:r>
      <w:r w:rsidR="0007705C" w:rsidRPr="00DC7AD2">
        <w:rPr>
          <w:rFonts w:asciiTheme="minorHAnsi" w:hAnsiTheme="minorHAnsi"/>
          <w:sz w:val="22"/>
        </w:rPr>
        <w:t>opravdavanje HNB-a da</w:t>
      </w:r>
      <w:r w:rsidR="00DC7AD2" w:rsidRPr="00DC7AD2">
        <w:rPr>
          <w:rFonts w:asciiTheme="minorHAnsi" w:hAnsiTheme="minorHAnsi"/>
          <w:sz w:val="22"/>
        </w:rPr>
        <w:t xml:space="preserve">, oni </w:t>
      </w:r>
      <w:r w:rsidR="0007705C" w:rsidRPr="00DC7AD2">
        <w:rPr>
          <w:rFonts w:asciiTheme="minorHAnsi" w:hAnsiTheme="minorHAnsi"/>
          <w:sz w:val="22"/>
        </w:rPr>
        <w:t xml:space="preserve"> ne mogu</w:t>
      </w:r>
      <w:r w:rsidR="007826A1" w:rsidRPr="00DC7AD2">
        <w:rPr>
          <w:rFonts w:asciiTheme="minorHAnsi" w:hAnsiTheme="minorHAnsi"/>
          <w:sz w:val="22"/>
        </w:rPr>
        <w:t xml:space="preserve"> u </w:t>
      </w:r>
      <w:r w:rsidR="00DC7AD2" w:rsidRPr="00DC7AD2">
        <w:rPr>
          <w:rFonts w:asciiTheme="minorHAnsi" w:hAnsiTheme="minorHAnsi"/>
          <w:sz w:val="22"/>
        </w:rPr>
        <w:t xml:space="preserve">zakonskom </w:t>
      </w:r>
      <w:r w:rsidR="007826A1" w:rsidRPr="00DC7AD2">
        <w:rPr>
          <w:rFonts w:asciiTheme="minorHAnsi" w:hAnsiTheme="minorHAnsi"/>
          <w:sz w:val="22"/>
        </w:rPr>
        <w:t>roku</w:t>
      </w:r>
      <w:r w:rsidR="00DC7AD2" w:rsidRPr="00DC7AD2">
        <w:rPr>
          <w:rFonts w:asciiTheme="minorHAnsi" w:hAnsiTheme="minorHAnsi"/>
          <w:sz w:val="22"/>
        </w:rPr>
        <w:t xml:space="preserve"> niti </w:t>
      </w:r>
      <w:r w:rsidR="007826A1" w:rsidRPr="00DC7AD2">
        <w:rPr>
          <w:rFonts w:asciiTheme="minorHAnsi" w:hAnsiTheme="minorHAnsi"/>
          <w:sz w:val="22"/>
        </w:rPr>
        <w:t>provjeriti naše prijave protiv banaka.</w:t>
      </w:r>
    </w:p>
    <w:p w:rsidR="00927514" w:rsidRPr="00644473" w:rsidRDefault="00927514" w:rsidP="0007705C">
      <w:pPr>
        <w:pStyle w:val="StandardWeb"/>
        <w:spacing w:before="120" w:beforeAutospacing="0" w:after="120" w:afterAutospacing="0"/>
        <w:jc w:val="both"/>
        <w:rPr>
          <w:rFonts w:asciiTheme="minorHAnsi" w:hAnsiTheme="minorHAnsi"/>
          <w:b/>
        </w:rPr>
      </w:pPr>
      <w:r w:rsidRPr="00644473">
        <w:rPr>
          <w:rFonts w:asciiTheme="minorHAnsi" w:hAnsiTheme="minorHAnsi"/>
          <w:b/>
        </w:rPr>
        <w:t>NERAD I NEODGOVORNOST HNB-a</w:t>
      </w:r>
    </w:p>
    <w:p w:rsidR="00DC7AD2" w:rsidRPr="00DC7AD2" w:rsidRDefault="00927514" w:rsidP="0007705C">
      <w:pPr>
        <w:pStyle w:val="StandardWeb"/>
        <w:spacing w:before="120" w:beforeAutospacing="0" w:after="120" w:afterAutospacing="0"/>
        <w:jc w:val="both"/>
        <w:rPr>
          <w:rFonts w:asciiTheme="minorHAnsi" w:hAnsiTheme="minorHAnsi"/>
          <w:sz w:val="22"/>
        </w:rPr>
      </w:pPr>
      <w:r w:rsidRPr="00DC7AD2">
        <w:rPr>
          <w:rFonts w:asciiTheme="minorHAnsi" w:hAnsiTheme="minorHAnsi"/>
          <w:sz w:val="22"/>
        </w:rPr>
        <w:t>Što se tiče tvrdnji HNB-a kako je nemoguće brzo provjeriti nepravilnosti u aneksima i izračunima,</w:t>
      </w:r>
      <w:r w:rsidR="007826A1" w:rsidRPr="00DC7AD2">
        <w:rPr>
          <w:rFonts w:asciiTheme="minorHAnsi" w:hAnsiTheme="minorHAnsi"/>
          <w:sz w:val="22"/>
        </w:rPr>
        <w:t xml:space="preserve"> n</w:t>
      </w:r>
      <w:r w:rsidRPr="00DC7AD2">
        <w:rPr>
          <w:rFonts w:asciiTheme="minorHAnsi" w:hAnsiTheme="minorHAnsi"/>
          <w:sz w:val="22"/>
        </w:rPr>
        <w:t>aš savjet HNB-u kako da točno, detaljno</w:t>
      </w:r>
      <w:r w:rsidR="007826A1" w:rsidRPr="00DC7AD2">
        <w:rPr>
          <w:rFonts w:asciiTheme="minorHAnsi" w:hAnsiTheme="minorHAnsi"/>
          <w:sz w:val="22"/>
        </w:rPr>
        <w:t xml:space="preserve"> i brzo provjeri jest sljedeći:</w:t>
      </w:r>
    </w:p>
    <w:p w:rsidR="00DC7AD2" w:rsidRPr="00DC7AD2" w:rsidRDefault="00DC7AD2" w:rsidP="0007705C">
      <w:pPr>
        <w:pStyle w:val="StandardWeb"/>
        <w:spacing w:before="120" w:beforeAutospacing="0" w:after="120" w:afterAutospacing="0"/>
        <w:jc w:val="both"/>
        <w:rPr>
          <w:rFonts w:asciiTheme="minorHAnsi" w:hAnsiTheme="minorHAnsi"/>
          <w:sz w:val="22"/>
        </w:rPr>
      </w:pPr>
      <w:r w:rsidRPr="00DC7AD2">
        <w:rPr>
          <w:rFonts w:asciiTheme="minorHAnsi" w:hAnsiTheme="minorHAnsi"/>
          <w:sz w:val="22"/>
        </w:rPr>
        <w:t>1. Konzultirati odredbu čl. 23. Zakona o potrošačkom kreditiranju koja obvezuje banke da nadležnom nadzornom tijelu (HNB) u svom, sjedištu i u ostalim prostorijama u kojima obavlja djelatnost i poslove u vezi s kojima nadležno nadzorno tijelo provodi nadzor omogući pregled sklopljenih ugovora i da njihove preslike te dostavi druge podatke i poslovnu dokumentaciju potrebnu za utvrđivanje činjeničnog stanja u provođenju nadzora.</w:t>
      </w:r>
    </w:p>
    <w:p w:rsidR="007826A1" w:rsidRPr="00DC7AD2" w:rsidRDefault="00DC7AD2" w:rsidP="0007705C">
      <w:pPr>
        <w:pStyle w:val="StandardWeb"/>
        <w:spacing w:before="120" w:beforeAutospacing="0" w:after="120" w:afterAutospacing="0"/>
        <w:jc w:val="both"/>
        <w:rPr>
          <w:rFonts w:asciiTheme="minorHAnsi" w:hAnsiTheme="minorHAnsi"/>
          <w:sz w:val="22"/>
        </w:rPr>
      </w:pPr>
      <w:r w:rsidRPr="00DC7AD2">
        <w:rPr>
          <w:rFonts w:asciiTheme="minorHAnsi" w:hAnsiTheme="minorHAnsi"/>
          <w:sz w:val="22"/>
        </w:rPr>
        <w:t>2</w:t>
      </w:r>
      <w:r w:rsidR="00927514" w:rsidRPr="00DC7AD2">
        <w:rPr>
          <w:rFonts w:asciiTheme="minorHAnsi" w:hAnsiTheme="minorHAnsi"/>
          <w:sz w:val="22"/>
        </w:rPr>
        <w:t xml:space="preserve">. </w:t>
      </w:r>
      <w:r w:rsidRPr="00DC7AD2">
        <w:rPr>
          <w:rFonts w:asciiTheme="minorHAnsi" w:hAnsiTheme="minorHAnsi"/>
          <w:sz w:val="22"/>
        </w:rPr>
        <w:t>Z</w:t>
      </w:r>
      <w:r w:rsidR="00927514" w:rsidRPr="00DC7AD2">
        <w:rPr>
          <w:rFonts w:asciiTheme="minorHAnsi" w:hAnsiTheme="minorHAnsi"/>
          <w:sz w:val="22"/>
        </w:rPr>
        <w:t>a svaku banku odrediti stručnjake koji će provjeriti kako su se kamate u euro kreditima uistinu mijenjale.</w:t>
      </w:r>
    </w:p>
    <w:p w:rsidR="004F1D44" w:rsidRDefault="00DC7AD2" w:rsidP="0007705C">
      <w:pPr>
        <w:pStyle w:val="StandardWeb"/>
        <w:spacing w:before="120" w:beforeAutospacing="0" w:after="120" w:afterAutospacing="0"/>
        <w:jc w:val="both"/>
        <w:rPr>
          <w:rFonts w:asciiTheme="minorHAnsi" w:hAnsiTheme="minorHAnsi"/>
          <w:sz w:val="22"/>
        </w:rPr>
      </w:pPr>
      <w:r w:rsidRPr="00DC7AD2">
        <w:rPr>
          <w:rFonts w:asciiTheme="minorHAnsi" w:hAnsiTheme="minorHAnsi"/>
          <w:sz w:val="22"/>
        </w:rPr>
        <w:t>3</w:t>
      </w:r>
      <w:r w:rsidR="00927514" w:rsidRPr="00DC7AD2">
        <w:rPr>
          <w:rFonts w:asciiTheme="minorHAnsi" w:hAnsiTheme="minorHAnsi"/>
          <w:sz w:val="22"/>
        </w:rPr>
        <w:t xml:space="preserve">. </w:t>
      </w:r>
      <w:r w:rsidRPr="00DC7AD2">
        <w:rPr>
          <w:rFonts w:asciiTheme="minorHAnsi" w:hAnsiTheme="minorHAnsi"/>
          <w:sz w:val="22"/>
        </w:rPr>
        <w:t>U</w:t>
      </w:r>
      <w:r w:rsidR="00927514" w:rsidRPr="00DC7AD2">
        <w:rPr>
          <w:rFonts w:asciiTheme="minorHAnsi" w:hAnsiTheme="minorHAnsi"/>
          <w:sz w:val="22"/>
        </w:rPr>
        <w:t xml:space="preserve">zeti po jedan primjer za svaku vrstu kredita i za svaku vrstu klijenta za svaku početnu kamatu koja je ikad postojala u konkretnoj banci u svakoj godini. Na temelju provjere kretanja kamate, što se </w:t>
      </w:r>
    </w:p>
    <w:p w:rsidR="004F1D44" w:rsidRDefault="004F1D44" w:rsidP="0007705C">
      <w:pPr>
        <w:pStyle w:val="StandardWeb"/>
        <w:spacing w:before="120" w:beforeAutospacing="0" w:after="120" w:afterAutospacing="0"/>
        <w:jc w:val="both"/>
        <w:rPr>
          <w:rFonts w:asciiTheme="minorHAnsi" w:hAnsiTheme="minorHAnsi"/>
          <w:sz w:val="22"/>
        </w:rPr>
      </w:pPr>
    </w:p>
    <w:p w:rsidR="00927514" w:rsidRPr="00DC7AD2" w:rsidRDefault="00927514" w:rsidP="0007705C">
      <w:pPr>
        <w:pStyle w:val="StandardWeb"/>
        <w:spacing w:before="120" w:beforeAutospacing="0" w:after="120" w:afterAutospacing="0"/>
        <w:jc w:val="both"/>
        <w:rPr>
          <w:rFonts w:asciiTheme="minorHAnsi" w:hAnsiTheme="minorHAnsi"/>
          <w:sz w:val="22"/>
        </w:rPr>
      </w:pPr>
      <w:r w:rsidRPr="00DC7AD2">
        <w:rPr>
          <w:rFonts w:asciiTheme="minorHAnsi" w:hAnsiTheme="minorHAnsi"/>
          <w:sz w:val="22"/>
        </w:rPr>
        <w:t xml:space="preserve">vidi iz realnog otplatnog plana za svakoga odabranog klijenta, </w:t>
      </w:r>
      <w:r w:rsidR="00DC7AD2" w:rsidRPr="00DC7AD2">
        <w:rPr>
          <w:rFonts w:asciiTheme="minorHAnsi" w:hAnsiTheme="minorHAnsi"/>
          <w:sz w:val="22"/>
        </w:rPr>
        <w:t>u</w:t>
      </w:r>
      <w:r w:rsidRPr="00DC7AD2">
        <w:rPr>
          <w:rFonts w:asciiTheme="minorHAnsi" w:hAnsiTheme="minorHAnsi"/>
          <w:sz w:val="22"/>
        </w:rPr>
        <w:t xml:space="preserve">tvrditi kako su se kamate uistinu mijenjale. </w:t>
      </w:r>
    </w:p>
    <w:p w:rsidR="00DC7AD2" w:rsidRPr="00DC7AD2" w:rsidRDefault="00927514" w:rsidP="00DC7AD2">
      <w:pPr>
        <w:pStyle w:val="StandardWeb"/>
        <w:spacing w:before="120" w:beforeAutospacing="0" w:after="120" w:afterAutospacing="0"/>
        <w:jc w:val="both"/>
        <w:rPr>
          <w:rFonts w:asciiTheme="minorHAnsi" w:hAnsiTheme="minorHAnsi"/>
          <w:sz w:val="22"/>
        </w:rPr>
      </w:pPr>
      <w:r w:rsidRPr="00DC7AD2">
        <w:rPr>
          <w:rFonts w:asciiTheme="minorHAnsi" w:hAnsiTheme="minorHAnsi"/>
          <w:sz w:val="22"/>
        </w:rPr>
        <w:t xml:space="preserve">Udruga Franak drži da za provjeru svih prijavljenih nedostataka HNB-u ne treba više od maksimalno </w:t>
      </w:r>
      <w:r w:rsidR="00DC7AD2">
        <w:rPr>
          <w:rFonts w:asciiTheme="minorHAnsi" w:hAnsiTheme="minorHAnsi"/>
          <w:sz w:val="22"/>
        </w:rPr>
        <w:t>5</w:t>
      </w:r>
      <w:r w:rsidRPr="00DC7AD2">
        <w:rPr>
          <w:rFonts w:asciiTheme="minorHAnsi" w:hAnsiTheme="minorHAnsi"/>
          <w:sz w:val="22"/>
        </w:rPr>
        <w:t xml:space="preserve"> dana predanoga rada, a po potrebi valjalo bi raditi i vikendom.</w:t>
      </w:r>
      <w:r w:rsidR="00D309C7">
        <w:rPr>
          <w:rFonts w:asciiTheme="minorHAnsi" w:hAnsiTheme="minorHAnsi"/>
          <w:sz w:val="22"/>
        </w:rPr>
        <w:t xml:space="preserve"> </w:t>
      </w:r>
      <w:r w:rsidR="00DC7AD2">
        <w:rPr>
          <w:rFonts w:asciiTheme="minorHAnsi" w:hAnsiTheme="minorHAnsi"/>
          <w:sz w:val="22"/>
        </w:rPr>
        <w:t>Napomene radi, o</w:t>
      </w:r>
      <w:r w:rsidR="00DC7AD2" w:rsidRPr="00DC7AD2">
        <w:rPr>
          <w:rFonts w:asciiTheme="minorHAnsi" w:hAnsiTheme="minorHAnsi"/>
          <w:sz w:val="22"/>
        </w:rPr>
        <w:t>d dana stupanja zakona na snagu proteklo je 55 dana.</w:t>
      </w:r>
    </w:p>
    <w:p w:rsidR="00DC7AD2" w:rsidRPr="00DC7AD2" w:rsidRDefault="00DC7AD2" w:rsidP="00DC7AD2">
      <w:pPr>
        <w:pStyle w:val="StandardWeb"/>
        <w:spacing w:before="120" w:beforeAutospacing="0" w:after="120" w:afterAutospacing="0"/>
        <w:jc w:val="both"/>
        <w:rPr>
          <w:rFonts w:asciiTheme="majorHAnsi" w:hAnsiTheme="majorHAnsi"/>
        </w:rPr>
      </w:pPr>
    </w:p>
    <w:p w:rsidR="007826A1" w:rsidRPr="00644473" w:rsidRDefault="007826A1" w:rsidP="0007705C">
      <w:pPr>
        <w:pStyle w:val="StandardWeb"/>
        <w:spacing w:before="120" w:beforeAutospacing="0" w:after="120" w:afterAutospacing="0"/>
        <w:jc w:val="both"/>
        <w:rPr>
          <w:rFonts w:asciiTheme="minorHAnsi" w:hAnsiTheme="minorHAnsi"/>
          <w:b/>
        </w:rPr>
      </w:pPr>
      <w:r w:rsidRPr="00644473">
        <w:rPr>
          <w:rFonts w:asciiTheme="minorHAnsi" w:hAnsiTheme="minorHAnsi"/>
          <w:b/>
        </w:rPr>
        <w:t>POZIV UDRUGE FRANAK</w:t>
      </w:r>
      <w:r w:rsidR="00C16DD4" w:rsidRPr="00644473">
        <w:rPr>
          <w:rFonts w:asciiTheme="minorHAnsi" w:hAnsiTheme="minorHAnsi"/>
          <w:b/>
        </w:rPr>
        <w:t xml:space="preserve"> PREMA HNB-u, MFIN I BANKAMA</w:t>
      </w:r>
    </w:p>
    <w:p w:rsidR="007826A1" w:rsidRPr="00DC7AD2" w:rsidRDefault="007826A1" w:rsidP="0007705C">
      <w:pPr>
        <w:pStyle w:val="StandardWeb"/>
        <w:spacing w:before="120" w:beforeAutospacing="0" w:after="120" w:afterAutospacing="0"/>
        <w:jc w:val="both"/>
        <w:rPr>
          <w:rFonts w:asciiTheme="minorHAnsi" w:hAnsiTheme="minorHAnsi"/>
          <w:sz w:val="22"/>
        </w:rPr>
      </w:pPr>
      <w:r w:rsidRPr="00DC7AD2">
        <w:rPr>
          <w:rFonts w:asciiTheme="minorHAnsi" w:hAnsiTheme="minorHAnsi"/>
          <w:sz w:val="22"/>
        </w:rPr>
        <w:t>Pozivamo HNB</w:t>
      </w:r>
      <w:r w:rsidR="00C16DD4" w:rsidRPr="00DC7AD2">
        <w:rPr>
          <w:rFonts w:asciiTheme="minorHAnsi" w:hAnsiTheme="minorHAnsi"/>
          <w:sz w:val="22"/>
        </w:rPr>
        <w:t>, predstavnike banaka</w:t>
      </w:r>
      <w:r w:rsidRPr="00DC7AD2">
        <w:rPr>
          <w:rFonts w:asciiTheme="minorHAnsi" w:hAnsiTheme="minorHAnsi"/>
          <w:sz w:val="22"/>
        </w:rPr>
        <w:t xml:space="preserve"> i Ministarstvo financija na hitno održavanje zajedničkog sastanka s Udrugom Franak gdje će se utvrditi daljnji koraci oko utvrđivanja mjera nadzora provođenja konverzije. </w:t>
      </w:r>
    </w:p>
    <w:p w:rsidR="007826A1" w:rsidRPr="00DC7AD2" w:rsidRDefault="007826A1" w:rsidP="0007705C">
      <w:pPr>
        <w:pStyle w:val="StandardWeb"/>
        <w:spacing w:before="120" w:beforeAutospacing="0" w:after="120" w:afterAutospacing="0"/>
        <w:jc w:val="both"/>
        <w:rPr>
          <w:rFonts w:asciiTheme="minorHAnsi" w:hAnsiTheme="minorHAnsi"/>
          <w:sz w:val="22"/>
        </w:rPr>
      </w:pPr>
      <w:r w:rsidRPr="00DC7AD2">
        <w:rPr>
          <w:rFonts w:asciiTheme="minorHAnsi" w:hAnsiTheme="minorHAnsi"/>
          <w:sz w:val="22"/>
        </w:rPr>
        <w:t>Pozivamo HNB da oformi tim stručnjaka za nadzor koji će po hitnom postupku utvrditi promjene EUR kamatnih stopa za različite kredite i ba</w:t>
      </w:r>
      <w:r w:rsidR="00C16DD4" w:rsidRPr="00DC7AD2">
        <w:rPr>
          <w:rFonts w:asciiTheme="minorHAnsi" w:hAnsiTheme="minorHAnsi"/>
          <w:sz w:val="22"/>
        </w:rPr>
        <w:t>nke, od 2001, godine pa nadalje, a koje će i javno objaviti kako bi dužnicima bile dostupne.</w:t>
      </w:r>
    </w:p>
    <w:p w:rsidR="007826A1" w:rsidRPr="00DC7AD2" w:rsidRDefault="007826A1" w:rsidP="0007705C">
      <w:pPr>
        <w:pStyle w:val="StandardWeb"/>
        <w:spacing w:before="120" w:beforeAutospacing="0" w:after="120" w:afterAutospacing="0"/>
        <w:jc w:val="both"/>
        <w:rPr>
          <w:rFonts w:asciiTheme="minorHAnsi" w:hAnsiTheme="minorHAnsi"/>
          <w:sz w:val="22"/>
        </w:rPr>
      </w:pPr>
      <w:r w:rsidRPr="00DC7AD2">
        <w:rPr>
          <w:rFonts w:asciiTheme="minorHAnsi" w:hAnsiTheme="minorHAnsi"/>
          <w:sz w:val="22"/>
        </w:rPr>
        <w:t>Pozivamo</w:t>
      </w:r>
      <w:r w:rsidR="00DC7AD2" w:rsidRPr="00DC7AD2">
        <w:rPr>
          <w:rFonts w:asciiTheme="minorHAnsi" w:hAnsiTheme="minorHAnsi"/>
          <w:sz w:val="22"/>
        </w:rPr>
        <w:t xml:space="preserve"> poslovne </w:t>
      </w:r>
      <w:r w:rsidRPr="00DC7AD2">
        <w:rPr>
          <w:rFonts w:asciiTheme="minorHAnsi" w:hAnsiTheme="minorHAnsi"/>
          <w:sz w:val="22"/>
        </w:rPr>
        <w:t>banke da poštuju Zakon o potroš</w:t>
      </w:r>
      <w:r w:rsidR="00DC7AD2" w:rsidRPr="00DC7AD2">
        <w:rPr>
          <w:rFonts w:asciiTheme="minorHAnsi" w:hAnsiTheme="minorHAnsi"/>
          <w:sz w:val="22"/>
        </w:rPr>
        <w:t xml:space="preserve">ačkom kreditiranju u potpunosti, </w:t>
      </w:r>
      <w:r w:rsidRPr="00DC7AD2">
        <w:rPr>
          <w:rFonts w:asciiTheme="minorHAnsi" w:hAnsiTheme="minorHAnsi"/>
          <w:sz w:val="22"/>
        </w:rPr>
        <w:t>da transparentno objave sve podatke i odl</w:t>
      </w:r>
      <w:r w:rsidR="00DC7AD2" w:rsidRPr="00DC7AD2">
        <w:rPr>
          <w:rFonts w:asciiTheme="minorHAnsi" w:hAnsiTheme="minorHAnsi"/>
          <w:sz w:val="22"/>
        </w:rPr>
        <w:t>uke o promjenama kamatnih stopa</w:t>
      </w:r>
      <w:r w:rsidRPr="00DC7AD2">
        <w:rPr>
          <w:rFonts w:asciiTheme="minorHAnsi" w:hAnsiTheme="minorHAnsi"/>
          <w:sz w:val="22"/>
        </w:rPr>
        <w:t xml:space="preserve"> te iste primjene u izračunima konverzije. Pozivamo </w:t>
      </w:r>
      <w:r w:rsidR="00DC7AD2" w:rsidRPr="00DC7AD2">
        <w:rPr>
          <w:rFonts w:asciiTheme="minorHAnsi" w:hAnsiTheme="minorHAnsi"/>
          <w:sz w:val="22"/>
        </w:rPr>
        <w:t xml:space="preserve">poslovne banke </w:t>
      </w:r>
      <w:r w:rsidRPr="00DC7AD2">
        <w:rPr>
          <w:rFonts w:asciiTheme="minorHAnsi" w:hAnsiTheme="minorHAnsi"/>
          <w:sz w:val="22"/>
        </w:rPr>
        <w:t xml:space="preserve">da izbace iz aneksa sve odredbe ugovora koje dodatno derogiraju prava dužnika. Pozivamo </w:t>
      </w:r>
      <w:r w:rsidR="00DC7AD2" w:rsidRPr="00DC7AD2">
        <w:rPr>
          <w:rFonts w:asciiTheme="minorHAnsi" w:hAnsiTheme="minorHAnsi"/>
          <w:sz w:val="22"/>
        </w:rPr>
        <w:t xml:space="preserve">poslovne </w:t>
      </w:r>
      <w:r w:rsidRPr="00DC7AD2">
        <w:rPr>
          <w:rFonts w:asciiTheme="minorHAnsi" w:hAnsiTheme="minorHAnsi"/>
          <w:sz w:val="22"/>
        </w:rPr>
        <w:t xml:space="preserve">banke da uvaže sve pogodnosti klijenata, a koje su bile uvažene i u CHF kreditu za istog klijenta, što je u skladu sa zakonom. Pozivamo </w:t>
      </w:r>
      <w:r w:rsidR="00DC7AD2" w:rsidRPr="00DC7AD2">
        <w:rPr>
          <w:rFonts w:asciiTheme="minorHAnsi" w:hAnsiTheme="minorHAnsi"/>
          <w:sz w:val="22"/>
        </w:rPr>
        <w:t xml:space="preserve">poslovne </w:t>
      </w:r>
      <w:r w:rsidRPr="00DC7AD2">
        <w:rPr>
          <w:rFonts w:asciiTheme="minorHAnsi" w:hAnsiTheme="minorHAnsi"/>
          <w:sz w:val="22"/>
        </w:rPr>
        <w:t xml:space="preserve">banke da odmah svojim klijentima ponude </w:t>
      </w:r>
      <w:r w:rsidR="00C16DD4" w:rsidRPr="00DC7AD2">
        <w:rPr>
          <w:rFonts w:asciiTheme="minorHAnsi" w:hAnsiTheme="minorHAnsi"/>
          <w:sz w:val="22"/>
        </w:rPr>
        <w:t>buduće</w:t>
      </w:r>
      <w:r w:rsidRPr="00DC7AD2">
        <w:rPr>
          <w:rFonts w:asciiTheme="minorHAnsi" w:hAnsiTheme="minorHAnsi"/>
          <w:sz w:val="22"/>
        </w:rPr>
        <w:t xml:space="preserve"> fiksne kamatne stope, bez dodatnog izračuna kreditne sposobnosti, jer manja kamata smanjuje rizik</w:t>
      </w:r>
      <w:r w:rsidR="00C16DD4" w:rsidRPr="00DC7AD2">
        <w:rPr>
          <w:rFonts w:asciiTheme="minorHAnsi" w:hAnsiTheme="minorHAnsi"/>
          <w:sz w:val="22"/>
        </w:rPr>
        <w:t>e</w:t>
      </w:r>
      <w:r w:rsidR="00D309C7">
        <w:rPr>
          <w:rFonts w:asciiTheme="minorHAnsi" w:hAnsiTheme="minorHAnsi"/>
          <w:sz w:val="22"/>
        </w:rPr>
        <w:t xml:space="preserve"> za klijente</w:t>
      </w:r>
      <w:r w:rsidR="00C16DD4" w:rsidRPr="00DC7AD2">
        <w:rPr>
          <w:rFonts w:asciiTheme="minorHAnsi" w:hAnsiTheme="minorHAnsi"/>
          <w:sz w:val="22"/>
        </w:rPr>
        <w:t xml:space="preserve"> i banku. Pozivamo </w:t>
      </w:r>
      <w:r w:rsidR="00DC7AD2" w:rsidRPr="00DC7AD2">
        <w:rPr>
          <w:rFonts w:asciiTheme="minorHAnsi" w:hAnsiTheme="minorHAnsi"/>
          <w:sz w:val="22"/>
        </w:rPr>
        <w:t xml:space="preserve">poslovne </w:t>
      </w:r>
      <w:r w:rsidR="00C16DD4" w:rsidRPr="00DC7AD2">
        <w:rPr>
          <w:rFonts w:asciiTheme="minorHAnsi" w:hAnsiTheme="minorHAnsi"/>
          <w:sz w:val="22"/>
        </w:rPr>
        <w:t xml:space="preserve">banke da ponude i kunske kredite sa fiksnom kamatnom stopom. Pozivamo </w:t>
      </w:r>
      <w:r w:rsidR="00DC7AD2" w:rsidRPr="00DC7AD2">
        <w:rPr>
          <w:rFonts w:asciiTheme="minorHAnsi" w:hAnsiTheme="minorHAnsi"/>
          <w:sz w:val="22"/>
        </w:rPr>
        <w:t xml:space="preserve">poslovne </w:t>
      </w:r>
      <w:r w:rsidR="00C16DD4" w:rsidRPr="00DC7AD2">
        <w:rPr>
          <w:rFonts w:asciiTheme="minorHAnsi" w:hAnsiTheme="minorHAnsi"/>
          <w:sz w:val="22"/>
        </w:rPr>
        <w:t>banke da dužnicima čiji su krediti otkazani omoguće otpis zateznih kamata i omoguće daljnju redovnu otplatu kredita te na taj način pokažu socijalnu osjetljivost na koju su se pozivali u tijeku trajanja pregovora s Udrugom Franak i prilikom donošenja zakona o konverziji.</w:t>
      </w:r>
    </w:p>
    <w:p w:rsidR="00D309C7" w:rsidRDefault="00C16DD4" w:rsidP="00DC7AD2">
      <w:pPr>
        <w:pStyle w:val="StandardWeb"/>
        <w:spacing w:before="120" w:beforeAutospacing="0" w:after="120" w:afterAutospacing="0"/>
        <w:jc w:val="both"/>
        <w:rPr>
          <w:rFonts w:asciiTheme="minorHAnsi" w:hAnsiTheme="minorHAnsi"/>
          <w:sz w:val="22"/>
        </w:rPr>
      </w:pPr>
      <w:r w:rsidRPr="00DC7AD2">
        <w:rPr>
          <w:rFonts w:asciiTheme="minorHAnsi" w:hAnsiTheme="minorHAnsi"/>
          <w:sz w:val="22"/>
        </w:rPr>
        <w:t xml:space="preserve">Nakon ove petogodišnje borbe i velikog pada povjerenja građana u bankarske institucije, nakon kolektivnog </w:t>
      </w:r>
      <w:r w:rsidR="00DC7AD2" w:rsidRPr="00DC7AD2">
        <w:rPr>
          <w:rFonts w:asciiTheme="minorHAnsi" w:hAnsiTheme="minorHAnsi"/>
          <w:sz w:val="22"/>
        </w:rPr>
        <w:t xml:space="preserve">sudskog </w:t>
      </w:r>
      <w:r w:rsidRPr="00DC7AD2">
        <w:rPr>
          <w:rFonts w:asciiTheme="minorHAnsi" w:hAnsiTheme="minorHAnsi"/>
          <w:sz w:val="22"/>
        </w:rPr>
        <w:t xml:space="preserve">postupka, nakon svih pojedinačnih tužbi pred pravosudnim </w:t>
      </w:r>
      <w:r w:rsidR="00DC7AD2">
        <w:rPr>
          <w:rFonts w:asciiTheme="minorHAnsi" w:hAnsiTheme="minorHAnsi"/>
          <w:sz w:val="22"/>
        </w:rPr>
        <w:t>tijelima</w:t>
      </w:r>
      <w:r w:rsidRPr="00DC7AD2">
        <w:rPr>
          <w:rFonts w:asciiTheme="minorHAnsi" w:hAnsiTheme="minorHAnsi"/>
          <w:sz w:val="22"/>
        </w:rPr>
        <w:t xml:space="preserve">, nakon svih patnji i </w:t>
      </w:r>
      <w:r w:rsidR="00DC7AD2">
        <w:rPr>
          <w:rFonts w:asciiTheme="minorHAnsi" w:hAnsiTheme="minorHAnsi"/>
          <w:sz w:val="22"/>
        </w:rPr>
        <w:t xml:space="preserve">nadomak </w:t>
      </w:r>
      <w:r w:rsidRPr="00DC7AD2">
        <w:rPr>
          <w:rFonts w:asciiTheme="minorHAnsi" w:hAnsiTheme="minorHAnsi"/>
          <w:sz w:val="22"/>
        </w:rPr>
        <w:t xml:space="preserve">konačnog rješenja za veliki broj građana, Udruga Franak smatra da je potrebno okrenuti novo poglavlje u zaštiti potrošača financijskih usluga. Zato pozivamo </w:t>
      </w:r>
      <w:r w:rsidR="00DC7AD2" w:rsidRPr="00DC7AD2">
        <w:rPr>
          <w:rFonts w:asciiTheme="minorHAnsi" w:hAnsiTheme="minorHAnsi"/>
          <w:sz w:val="22"/>
        </w:rPr>
        <w:t xml:space="preserve">poslovne </w:t>
      </w:r>
      <w:r w:rsidRPr="00DC7AD2">
        <w:rPr>
          <w:rFonts w:asciiTheme="minorHAnsi" w:hAnsiTheme="minorHAnsi"/>
          <w:sz w:val="22"/>
        </w:rPr>
        <w:t>banke da sjednu za isti stol s predstavnicima građana i da započnu proces povrata povjerenja u bankarski sustav jer ovakvo daljnje inatljivo poslovanje</w:t>
      </w:r>
      <w:r w:rsidR="00DC7AD2" w:rsidRPr="00DC7AD2">
        <w:rPr>
          <w:rFonts w:asciiTheme="minorHAnsi" w:hAnsiTheme="minorHAnsi"/>
          <w:sz w:val="22"/>
        </w:rPr>
        <w:t xml:space="preserve"> i ignoriranje zakona </w:t>
      </w:r>
      <w:r w:rsidRPr="00DC7AD2">
        <w:rPr>
          <w:rFonts w:asciiTheme="minorHAnsi" w:hAnsiTheme="minorHAnsi"/>
          <w:sz w:val="22"/>
        </w:rPr>
        <w:t xml:space="preserve">šteti </w:t>
      </w:r>
      <w:r w:rsidR="00F1283F" w:rsidRPr="00DC7AD2">
        <w:rPr>
          <w:rFonts w:asciiTheme="minorHAnsi" w:hAnsiTheme="minorHAnsi"/>
          <w:sz w:val="22"/>
        </w:rPr>
        <w:t xml:space="preserve">samim </w:t>
      </w:r>
      <w:r w:rsidR="00DC7AD2" w:rsidRPr="00DC7AD2">
        <w:rPr>
          <w:rFonts w:asciiTheme="minorHAnsi" w:hAnsiTheme="minorHAnsi"/>
          <w:sz w:val="22"/>
        </w:rPr>
        <w:t xml:space="preserve">građanima </w:t>
      </w:r>
      <w:r w:rsidR="00F1283F" w:rsidRPr="00DC7AD2">
        <w:rPr>
          <w:rFonts w:asciiTheme="minorHAnsi" w:hAnsiTheme="minorHAnsi"/>
          <w:sz w:val="22"/>
        </w:rPr>
        <w:t>ali i bankama te društvu u cjelini.</w:t>
      </w:r>
      <w:r w:rsidR="00D309C7">
        <w:rPr>
          <w:rFonts w:asciiTheme="minorHAnsi" w:hAnsiTheme="minorHAnsi"/>
          <w:sz w:val="22"/>
        </w:rPr>
        <w:t xml:space="preserve"> </w:t>
      </w:r>
    </w:p>
    <w:p w:rsidR="00207AEB" w:rsidRPr="00DC7AD2" w:rsidRDefault="00DC7AD2" w:rsidP="00DC7AD2">
      <w:pPr>
        <w:pStyle w:val="StandardWeb"/>
        <w:spacing w:before="120" w:beforeAutospacing="0" w:after="120" w:afterAutospacing="0"/>
        <w:jc w:val="both"/>
        <w:rPr>
          <w:rFonts w:ascii="Candara" w:hAnsi="Candara" w:cs="Arial"/>
          <w:sz w:val="18"/>
          <w:szCs w:val="20"/>
        </w:rPr>
      </w:pPr>
      <w:r w:rsidRPr="00DC7AD2">
        <w:rPr>
          <w:rFonts w:ascii="Candara" w:hAnsi="Candara" w:cs="Arial"/>
          <w:sz w:val="22"/>
        </w:rPr>
        <w:t>Udruga Franak neće ne</w:t>
      </w:r>
      <w:r w:rsidR="00D309C7">
        <w:rPr>
          <w:rFonts w:ascii="Candara" w:hAnsi="Candara" w:cs="Arial"/>
          <w:sz w:val="22"/>
        </w:rPr>
        <w:t>stati dok ne nestane be</w:t>
      </w:r>
      <w:r w:rsidRPr="00DC7AD2">
        <w:rPr>
          <w:rFonts w:ascii="Candara" w:hAnsi="Candara" w:cs="Arial"/>
          <w:sz w:val="22"/>
        </w:rPr>
        <w:t>zakonje koje</w:t>
      </w:r>
      <w:r w:rsidR="00D309C7">
        <w:rPr>
          <w:rFonts w:ascii="Candara" w:hAnsi="Candara" w:cs="Arial"/>
          <w:sz w:val="22"/>
        </w:rPr>
        <w:t xml:space="preserve"> ju</w:t>
      </w:r>
      <w:r w:rsidRPr="00DC7AD2">
        <w:rPr>
          <w:rFonts w:ascii="Candara" w:hAnsi="Candara" w:cs="Arial"/>
          <w:sz w:val="22"/>
        </w:rPr>
        <w:t xml:space="preserve"> je stvorilo</w:t>
      </w:r>
      <w:r>
        <w:rPr>
          <w:rFonts w:ascii="Candara" w:hAnsi="Candara" w:cs="Arial"/>
          <w:sz w:val="22"/>
        </w:rPr>
        <w:t>.</w:t>
      </w:r>
    </w:p>
    <w:p w:rsidR="00BB39E0" w:rsidRDefault="00BB39E0" w:rsidP="0007705C">
      <w:pPr>
        <w:spacing w:before="120" w:after="120" w:line="240" w:lineRule="auto"/>
        <w:jc w:val="both"/>
        <w:rPr>
          <w:rFonts w:cs="Arial"/>
          <w:b/>
          <w:sz w:val="20"/>
          <w:szCs w:val="20"/>
        </w:rPr>
      </w:pPr>
    </w:p>
    <w:p w:rsidR="00DC7AD2" w:rsidRPr="00927514" w:rsidRDefault="00DC7AD2" w:rsidP="0007705C">
      <w:pPr>
        <w:spacing w:before="120" w:after="120" w:line="240" w:lineRule="auto"/>
        <w:jc w:val="both"/>
        <w:rPr>
          <w:rFonts w:cs="Arial"/>
          <w:b/>
          <w:sz w:val="20"/>
          <w:szCs w:val="20"/>
        </w:rPr>
      </w:pPr>
      <w:r>
        <w:rPr>
          <w:rFonts w:cs="Arial"/>
          <w:b/>
          <w:sz w:val="20"/>
          <w:szCs w:val="20"/>
        </w:rPr>
        <w:t>Udruga Franak</w:t>
      </w:r>
    </w:p>
    <w:sectPr w:rsidR="00DC7AD2" w:rsidRPr="00927514" w:rsidSect="004F62B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124" w:rsidRDefault="009B3124" w:rsidP="002C523E">
      <w:pPr>
        <w:spacing w:after="0" w:line="240" w:lineRule="auto"/>
      </w:pPr>
      <w:r>
        <w:separator/>
      </w:r>
    </w:p>
  </w:endnote>
  <w:endnote w:type="continuationSeparator" w:id="1">
    <w:p w:rsidR="009B3124" w:rsidRDefault="009B3124" w:rsidP="002C52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012" w:rsidRDefault="006F4012">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012" w:rsidRDefault="006F4012">
    <w:pPr>
      <w:pStyle w:val="Podnoj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012" w:rsidRDefault="006F4012">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124" w:rsidRDefault="009B3124" w:rsidP="002C523E">
      <w:pPr>
        <w:spacing w:after="0" w:line="240" w:lineRule="auto"/>
      </w:pPr>
      <w:r>
        <w:separator/>
      </w:r>
    </w:p>
  </w:footnote>
  <w:footnote w:type="continuationSeparator" w:id="1">
    <w:p w:rsidR="009B3124" w:rsidRDefault="009B3124" w:rsidP="002C52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012" w:rsidRDefault="006F4012">
    <w:pPr>
      <w:pStyle w:val="Zaglavlj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23E" w:rsidRDefault="006F4012">
    <w:pPr>
      <w:pStyle w:val="Zaglavlje"/>
    </w:pPr>
    <w:r>
      <w:rPr>
        <w:noProof/>
      </w:rPr>
      <w:drawing>
        <wp:inline distT="0" distB="0" distL="0" distR="0">
          <wp:extent cx="5541363"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c27:Users:Admin:Desktop:memorandum-01.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5541363" cy="609600"/>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012" w:rsidRDefault="006F4012">
    <w:pPr>
      <w:pStyle w:val="Zaglavlj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E45E8"/>
    <w:multiLevelType w:val="hybridMultilevel"/>
    <w:tmpl w:val="3E40A9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EB8069E"/>
    <w:multiLevelType w:val="hybridMultilevel"/>
    <w:tmpl w:val="CF5A3324"/>
    <w:lvl w:ilvl="0" w:tplc="2EF4C706">
      <w:numFmt w:val="bullet"/>
      <w:lvlText w:val="-"/>
      <w:lvlJc w:val="left"/>
      <w:pPr>
        <w:ind w:left="720" w:hanging="360"/>
      </w:pPr>
      <w:rPr>
        <w:rFonts w:ascii="Calibri" w:eastAsia="Times New Roman" w:hAnsi="Calibri" w:cs="Arial"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6593772"/>
    <w:multiLevelType w:val="hybridMultilevel"/>
    <w:tmpl w:val="A4E2E5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397"/>
  <w:hyphenationZone w:val="425"/>
  <w:characterSpacingControl w:val="doNotCompress"/>
  <w:hdrShapeDefaults>
    <o:shapedefaults v:ext="edit" spidmax="8194"/>
  </w:hdrShapeDefaults>
  <w:footnotePr>
    <w:footnote w:id="0"/>
    <w:footnote w:id="1"/>
  </w:footnotePr>
  <w:endnotePr>
    <w:endnote w:id="0"/>
    <w:endnote w:id="1"/>
  </w:endnotePr>
  <w:compat>
    <w:useFELayout/>
  </w:compat>
  <w:rsids>
    <w:rsidRoot w:val="006E1BEB"/>
    <w:rsid w:val="0007705C"/>
    <w:rsid w:val="000A1FB3"/>
    <w:rsid w:val="000C7ED1"/>
    <w:rsid w:val="00207AEB"/>
    <w:rsid w:val="0021173B"/>
    <w:rsid w:val="00281E12"/>
    <w:rsid w:val="002850AD"/>
    <w:rsid w:val="002C523E"/>
    <w:rsid w:val="002E4E81"/>
    <w:rsid w:val="00412030"/>
    <w:rsid w:val="00432083"/>
    <w:rsid w:val="004F1D44"/>
    <w:rsid w:val="004F62BE"/>
    <w:rsid w:val="00514CC3"/>
    <w:rsid w:val="0052446A"/>
    <w:rsid w:val="0054052E"/>
    <w:rsid w:val="00644473"/>
    <w:rsid w:val="00645315"/>
    <w:rsid w:val="006C3CF2"/>
    <w:rsid w:val="006E1BEB"/>
    <w:rsid w:val="006F4012"/>
    <w:rsid w:val="0071154E"/>
    <w:rsid w:val="00714657"/>
    <w:rsid w:val="00717094"/>
    <w:rsid w:val="007826A1"/>
    <w:rsid w:val="00783CE8"/>
    <w:rsid w:val="00807478"/>
    <w:rsid w:val="0084532A"/>
    <w:rsid w:val="008C7C99"/>
    <w:rsid w:val="008D0E2D"/>
    <w:rsid w:val="00917D22"/>
    <w:rsid w:val="00927514"/>
    <w:rsid w:val="009B3124"/>
    <w:rsid w:val="009E1B5D"/>
    <w:rsid w:val="00A67DCA"/>
    <w:rsid w:val="00A83654"/>
    <w:rsid w:val="00AD61EC"/>
    <w:rsid w:val="00AF0AB5"/>
    <w:rsid w:val="00BB39E0"/>
    <w:rsid w:val="00BC702A"/>
    <w:rsid w:val="00C16DD4"/>
    <w:rsid w:val="00C93E53"/>
    <w:rsid w:val="00CB7485"/>
    <w:rsid w:val="00D3040E"/>
    <w:rsid w:val="00D309C7"/>
    <w:rsid w:val="00D57E93"/>
    <w:rsid w:val="00D7454D"/>
    <w:rsid w:val="00DA5C1F"/>
    <w:rsid w:val="00DC7AD2"/>
    <w:rsid w:val="00E13EF5"/>
    <w:rsid w:val="00E554BB"/>
    <w:rsid w:val="00EC7893"/>
    <w:rsid w:val="00EF35A5"/>
    <w:rsid w:val="00F1283F"/>
    <w:rsid w:val="00FD61F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094"/>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6E1BE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E1BEB"/>
    <w:rPr>
      <w:rFonts w:ascii="Tahoma" w:hAnsi="Tahoma" w:cs="Tahoma"/>
      <w:sz w:val="16"/>
      <w:szCs w:val="16"/>
    </w:rPr>
  </w:style>
  <w:style w:type="character" w:styleId="Hiperveza">
    <w:name w:val="Hyperlink"/>
    <w:basedOn w:val="Zadanifontodlomka"/>
    <w:uiPriority w:val="99"/>
    <w:unhideWhenUsed/>
    <w:rsid w:val="006E1BEB"/>
    <w:rPr>
      <w:color w:val="0000FF" w:themeColor="hyperlink"/>
      <w:u w:val="single"/>
    </w:rPr>
  </w:style>
  <w:style w:type="paragraph" w:styleId="Zaglavlje">
    <w:name w:val="header"/>
    <w:basedOn w:val="Normal"/>
    <w:link w:val="ZaglavljeChar"/>
    <w:uiPriority w:val="99"/>
    <w:unhideWhenUsed/>
    <w:rsid w:val="002C523E"/>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2C523E"/>
  </w:style>
  <w:style w:type="paragraph" w:styleId="Podnoje">
    <w:name w:val="footer"/>
    <w:basedOn w:val="Normal"/>
    <w:link w:val="PodnojeChar"/>
    <w:uiPriority w:val="99"/>
    <w:unhideWhenUsed/>
    <w:rsid w:val="002C523E"/>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2C523E"/>
  </w:style>
  <w:style w:type="paragraph" w:styleId="Odlomakpopisa">
    <w:name w:val="List Paragraph"/>
    <w:basedOn w:val="Normal"/>
    <w:uiPriority w:val="34"/>
    <w:qFormat/>
    <w:rsid w:val="00207AEB"/>
    <w:pPr>
      <w:spacing w:after="0" w:line="240" w:lineRule="auto"/>
      <w:ind w:left="720"/>
    </w:pPr>
    <w:rPr>
      <w:rFonts w:ascii="Calibri" w:hAnsi="Calibri" w:cs="Times New Roman"/>
    </w:rPr>
  </w:style>
  <w:style w:type="paragraph" w:styleId="StandardWeb">
    <w:name w:val="Normal (Web)"/>
    <w:basedOn w:val="Normal"/>
    <w:uiPriority w:val="99"/>
    <w:unhideWhenUsed/>
    <w:rsid w:val="0092751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6E1BE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E1BEB"/>
    <w:rPr>
      <w:rFonts w:ascii="Tahoma" w:hAnsi="Tahoma" w:cs="Tahoma"/>
      <w:sz w:val="16"/>
      <w:szCs w:val="16"/>
    </w:rPr>
  </w:style>
  <w:style w:type="character" w:styleId="Hiperveza">
    <w:name w:val="Hyperlink"/>
    <w:basedOn w:val="Zadanifontodlomka"/>
    <w:uiPriority w:val="99"/>
    <w:unhideWhenUsed/>
    <w:rsid w:val="006E1BEB"/>
    <w:rPr>
      <w:color w:val="0000FF" w:themeColor="hyperlink"/>
      <w:u w:val="single"/>
    </w:rPr>
  </w:style>
  <w:style w:type="paragraph" w:styleId="Zaglavlje">
    <w:name w:val="header"/>
    <w:basedOn w:val="Normal"/>
    <w:link w:val="ZaglavljeChar"/>
    <w:uiPriority w:val="99"/>
    <w:unhideWhenUsed/>
    <w:rsid w:val="002C523E"/>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2C523E"/>
  </w:style>
  <w:style w:type="paragraph" w:styleId="Podnoje">
    <w:name w:val="footer"/>
    <w:basedOn w:val="Normal"/>
    <w:link w:val="PodnojeChar"/>
    <w:uiPriority w:val="99"/>
    <w:unhideWhenUsed/>
    <w:rsid w:val="002C523E"/>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2C523E"/>
  </w:style>
  <w:style w:type="paragraph" w:styleId="Odlomakpopisa">
    <w:name w:val="List Paragraph"/>
    <w:basedOn w:val="Normal"/>
    <w:uiPriority w:val="34"/>
    <w:qFormat/>
    <w:rsid w:val="00207AEB"/>
    <w:pPr>
      <w:spacing w:after="0" w:line="240" w:lineRule="auto"/>
      <w:ind w:left="720"/>
    </w:pPr>
    <w:rPr>
      <w:rFonts w:ascii="Calibri" w:hAnsi="Calibri" w:cs="Times New Roman"/>
    </w:rPr>
  </w:style>
  <w:style w:type="paragraph" w:styleId="StandardWeb">
    <w:name w:val="Normal (Web)"/>
    <w:basedOn w:val="Normal"/>
    <w:uiPriority w:val="99"/>
    <w:unhideWhenUsed/>
    <w:rsid w:val="009275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8955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22609-D5FD-42DD-A934-836BBEEF4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1328</Words>
  <Characters>7522</Characters>
  <Application>Microsoft Office Word</Application>
  <DocSecurity>0</DocSecurity>
  <Lines>115</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dc:creator>
  <cp:lastModifiedBy>Denis Smajo</cp:lastModifiedBy>
  <cp:revision>5</cp:revision>
  <dcterms:created xsi:type="dcterms:W3CDTF">2015-11-24T09:32:00Z</dcterms:created>
  <dcterms:modified xsi:type="dcterms:W3CDTF">2015-11-24T10:56:00Z</dcterms:modified>
</cp:coreProperties>
</file>